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03D83600">
      <w:pPr>
        <w:jc w:val="center"/>
        <w:rPr>
          <w:rFonts w:hint="eastAsia" w:ascii="方正小标宋_GBK" w:eastAsia="方正小标宋_GBK" w:cs="Times New Roman"/>
          <w:b/>
          <w:bCs/>
          <w:sz w:val="48"/>
          <w:szCs w:val="48"/>
          <w:lang w:val="en-US" w:eastAsia="zh-CN"/>
        </w:rPr>
      </w:pPr>
      <w:r>
        <w:rPr>
          <w:rFonts w:hint="eastAsia" w:ascii="方正小标宋_GBK" w:hAnsi="宋体" w:eastAsia="方正小标宋_GBK" w:cs="Times New Roman"/>
          <w:b/>
          <w:bCs/>
          <w:sz w:val="48"/>
          <w:szCs w:val="48"/>
          <w:lang w:val="en-US" w:eastAsia="zh-CN"/>
        </w:rPr>
        <w:t>成都市成华区人民</w:t>
      </w:r>
      <w:r>
        <w:rPr>
          <w:rFonts w:hint="eastAsia" w:ascii="方正小标宋_GBK" w:eastAsia="方正小标宋_GBK" w:cs="Times New Roman"/>
          <w:b/>
          <w:bCs/>
          <w:sz w:val="48"/>
          <w:szCs w:val="48"/>
          <w:lang w:val="en-US" w:eastAsia="zh-CN"/>
        </w:rPr>
        <w:t>医院</w:t>
      </w:r>
    </w:p>
    <w:p w14:paraId="6793DFF0">
      <w:pPr>
        <w:jc w:val="center"/>
        <w:rPr>
          <w:rFonts w:hint="eastAsia" w:ascii="方正小标宋_GBK" w:eastAsia="方正小标宋_GBK" w:cs="Times New Roman"/>
          <w:b/>
          <w:bCs/>
          <w:sz w:val="48"/>
          <w:szCs w:val="48"/>
          <w:lang w:eastAsia="zh-CN"/>
        </w:rPr>
      </w:pPr>
      <w:r>
        <w:rPr>
          <w:rFonts w:hint="eastAsia" w:ascii="方正小标宋_GBK" w:eastAsia="方正小标宋_GBK" w:cs="Times New Roman"/>
          <w:b/>
          <w:bCs/>
          <w:sz w:val="48"/>
          <w:szCs w:val="48"/>
          <w:lang w:val="en-US" w:eastAsia="zh-CN"/>
        </w:rPr>
        <w:t>羽毛球活动场地服务采购项目（第四次）</w:t>
      </w:r>
    </w:p>
    <w:p w14:paraId="2C3FE69A">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lang w:eastAsia="zh-CN"/>
        </w:rPr>
      </w:pPr>
      <w:r>
        <w:rPr>
          <w:rFonts w:hint="eastAsia" w:ascii="方正小标宋_GBK" w:eastAsia="方正小标宋_GBK" w:cs="Times New Roman"/>
          <w:b w:val="0"/>
          <w:bCs w:val="0"/>
        </w:rPr>
        <w:t>CG2026-</w:t>
      </w:r>
      <w:r>
        <w:rPr>
          <w:rFonts w:hint="eastAsia" w:ascii="方正小标宋_GBK" w:eastAsia="方正小标宋_GBK" w:cs="Times New Roman"/>
          <w:b w:val="0"/>
          <w:bCs w:val="0"/>
          <w:lang w:eastAsia="zh-CN"/>
        </w:rPr>
        <w:t>HQ034</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lang w:val="en-US" w:eastAsia="zh-CN"/>
        </w:rPr>
        <w:t xml:space="preserve">    </w:t>
      </w: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七</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3F2C5E92">
      <w:pPr>
        <w:pStyle w:val="16"/>
        <w:tabs>
          <w:tab w:val="right" w:leader="dot" w:pos="9746"/>
        </w:tabs>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bCs/>
          <w:szCs w:val="28"/>
        </w:rPr>
        <w:fldChar w:fldCharType="begin"/>
      </w:r>
      <w:r>
        <w:rPr>
          <w:rFonts w:cs="Times New Roman"/>
          <w:bCs/>
          <w:szCs w:val="28"/>
        </w:rPr>
        <w:instrText xml:space="preserve"> HYPERLINK \l _Toc31493 </w:instrText>
      </w:r>
      <w:r>
        <w:rPr>
          <w:rFonts w:cs="Times New Roman"/>
          <w:bCs/>
          <w:szCs w:val="28"/>
        </w:rPr>
        <w:fldChar w:fldCharType="separate"/>
      </w:r>
      <w:r>
        <w:rPr>
          <w:rFonts w:hint="eastAsia" w:ascii="方正小标宋_GBK" w:eastAsia="方正小标宋_GBK" w:cs="Times New Roman"/>
        </w:rPr>
        <w:t>第一章 询价邀请</w:t>
      </w:r>
      <w:r>
        <w:tab/>
      </w:r>
      <w:r>
        <w:fldChar w:fldCharType="begin"/>
      </w:r>
      <w:r>
        <w:instrText xml:space="preserve"> PAGEREF _Toc31493 \h </w:instrText>
      </w:r>
      <w:r>
        <w:fldChar w:fldCharType="separate"/>
      </w:r>
      <w:r>
        <w:t>1</w:t>
      </w:r>
      <w:r>
        <w:fldChar w:fldCharType="end"/>
      </w:r>
      <w:r>
        <w:rPr>
          <w:rFonts w:cs="Times New Roman"/>
          <w:bCs/>
          <w:szCs w:val="28"/>
        </w:rPr>
        <w:fldChar w:fldCharType="end"/>
      </w:r>
    </w:p>
    <w:p w14:paraId="5F94D5D2">
      <w:pPr>
        <w:pStyle w:val="16"/>
        <w:tabs>
          <w:tab w:val="right" w:leader="dot" w:pos="9746"/>
        </w:tabs>
      </w:pPr>
      <w:r>
        <w:rPr>
          <w:rFonts w:cs="Times New Roman"/>
          <w:bCs/>
          <w:szCs w:val="28"/>
        </w:rPr>
        <w:fldChar w:fldCharType="begin"/>
      </w:r>
      <w:r>
        <w:rPr>
          <w:rFonts w:cs="Times New Roman"/>
          <w:bCs/>
          <w:szCs w:val="28"/>
        </w:rPr>
        <w:instrText xml:space="preserve"> HYPERLINK \l _Toc13116 </w:instrText>
      </w:r>
      <w:r>
        <w:rPr>
          <w:rFonts w:cs="Times New Roman"/>
          <w:bCs/>
          <w:szCs w:val="28"/>
        </w:rPr>
        <w:fldChar w:fldCharType="separate"/>
      </w:r>
      <w:r>
        <w:rPr>
          <w:rFonts w:ascii="方正小标宋_GBK" w:eastAsia="方正小标宋_GBK" w:cs="Times New Roman"/>
        </w:rPr>
        <w:t xml:space="preserve">第二章 </w:t>
      </w:r>
      <w:r>
        <w:rPr>
          <w:rFonts w:hint="eastAsia" w:ascii="方正小标宋_GBK" w:eastAsia="方正小标宋_GBK" w:cs="Times New Roman"/>
        </w:rPr>
        <w:t>询价</w:t>
      </w:r>
      <w:r>
        <w:rPr>
          <w:rFonts w:ascii="方正小标宋_GBK" w:eastAsia="方正小标宋_GBK" w:cs="Times New Roman"/>
        </w:rPr>
        <w:t>申请书</w:t>
      </w:r>
      <w:r>
        <w:tab/>
      </w:r>
      <w:r>
        <w:fldChar w:fldCharType="begin"/>
      </w:r>
      <w:r>
        <w:instrText xml:space="preserve"> PAGEREF _Toc13116 \h </w:instrText>
      </w:r>
      <w:r>
        <w:fldChar w:fldCharType="separate"/>
      </w:r>
      <w:r>
        <w:t>7</w:t>
      </w:r>
      <w:r>
        <w:fldChar w:fldCharType="end"/>
      </w:r>
      <w:r>
        <w:rPr>
          <w:rFonts w:cs="Times New Roman"/>
          <w:bCs/>
          <w:szCs w:val="28"/>
        </w:rPr>
        <w:fldChar w:fldCharType="end"/>
      </w:r>
    </w:p>
    <w:p w14:paraId="73AC7DDD">
      <w:pPr>
        <w:pStyle w:val="16"/>
        <w:tabs>
          <w:tab w:val="right" w:leader="dot" w:pos="9746"/>
        </w:tabs>
      </w:pPr>
      <w:r>
        <w:rPr>
          <w:rFonts w:cs="Times New Roman"/>
          <w:bCs/>
          <w:szCs w:val="28"/>
        </w:rPr>
        <w:fldChar w:fldCharType="begin"/>
      </w:r>
      <w:r>
        <w:rPr>
          <w:rFonts w:cs="Times New Roman"/>
          <w:bCs/>
          <w:szCs w:val="28"/>
        </w:rPr>
        <w:instrText xml:space="preserve"> HYPERLINK \l _Toc5703 </w:instrText>
      </w:r>
      <w:r>
        <w:rPr>
          <w:rFonts w:cs="Times New Roman"/>
          <w:bCs/>
          <w:szCs w:val="28"/>
        </w:rPr>
        <w:fldChar w:fldCharType="separate"/>
      </w:r>
      <w:r>
        <w:rPr>
          <w:rFonts w:cs="Times New Roman"/>
        </w:rPr>
        <w:t>（至少包含第</w:t>
      </w:r>
      <w:r>
        <w:rPr>
          <w:rFonts w:hint="eastAsia" w:cs="Times New Roman"/>
          <w:lang w:val="en-US" w:eastAsia="zh-CN"/>
        </w:rPr>
        <w:t>四</w:t>
      </w:r>
      <w:r>
        <w:rPr>
          <w:rFonts w:cs="Times New Roman"/>
        </w:rPr>
        <w:t>章</w:t>
      </w:r>
      <w:r>
        <w:rPr>
          <w:rFonts w:hint="eastAsia" w:cs="Times New Roman"/>
          <w:lang w:val="en-US" w:eastAsia="zh-CN"/>
        </w:rPr>
        <w:t>询价需求</w:t>
      </w:r>
      <w:r>
        <w:rPr>
          <w:rFonts w:cs="Times New Roman"/>
        </w:rPr>
        <w:t>提到的要求）</w:t>
      </w:r>
      <w:r>
        <w:tab/>
      </w:r>
      <w:r>
        <w:fldChar w:fldCharType="begin"/>
      </w:r>
      <w:r>
        <w:instrText xml:space="preserve"> PAGEREF _Toc5703 \h </w:instrText>
      </w:r>
      <w:r>
        <w:fldChar w:fldCharType="separate"/>
      </w:r>
      <w:r>
        <w:t>15</w:t>
      </w:r>
      <w:r>
        <w:fldChar w:fldCharType="end"/>
      </w:r>
      <w:r>
        <w:rPr>
          <w:rFonts w:cs="Times New Roman"/>
          <w:bCs/>
          <w:szCs w:val="28"/>
        </w:rPr>
        <w:fldChar w:fldCharType="end"/>
      </w:r>
    </w:p>
    <w:p w14:paraId="309EBC8A">
      <w:pPr>
        <w:pStyle w:val="16"/>
        <w:tabs>
          <w:tab w:val="right" w:leader="dot" w:pos="9746"/>
        </w:tabs>
      </w:pPr>
      <w:r>
        <w:rPr>
          <w:rFonts w:cs="Times New Roman"/>
          <w:bCs/>
          <w:szCs w:val="28"/>
        </w:rPr>
        <w:fldChar w:fldCharType="begin"/>
      </w:r>
      <w:r>
        <w:rPr>
          <w:rFonts w:cs="Times New Roman"/>
          <w:bCs/>
          <w:szCs w:val="28"/>
        </w:rPr>
        <w:instrText xml:space="preserve"> HYPERLINK \l _Toc32005 </w:instrText>
      </w:r>
      <w:r>
        <w:rPr>
          <w:rFonts w:cs="Times New Roman"/>
          <w:bCs/>
          <w:szCs w:val="28"/>
        </w:rPr>
        <w:fldChar w:fldCharType="separate"/>
      </w:r>
      <w:r>
        <w:rPr>
          <w:rFonts w:ascii="方正小标宋_GBK" w:eastAsia="方正小标宋_GBK" w:cs="Times New Roman"/>
        </w:rPr>
        <w:t>第三章 资格证明文件</w:t>
      </w:r>
      <w:r>
        <w:tab/>
      </w:r>
      <w:r>
        <w:fldChar w:fldCharType="begin"/>
      </w:r>
      <w:r>
        <w:instrText xml:space="preserve"> PAGEREF _Toc32005 \h </w:instrText>
      </w:r>
      <w:r>
        <w:fldChar w:fldCharType="separate"/>
      </w:r>
      <w:r>
        <w:t>16</w:t>
      </w:r>
      <w:r>
        <w:fldChar w:fldCharType="end"/>
      </w:r>
      <w:r>
        <w:rPr>
          <w:rFonts w:cs="Times New Roman"/>
          <w:bCs/>
          <w:szCs w:val="28"/>
        </w:rPr>
        <w:fldChar w:fldCharType="end"/>
      </w:r>
    </w:p>
    <w:p w14:paraId="6D496053">
      <w:pPr>
        <w:pStyle w:val="16"/>
        <w:tabs>
          <w:tab w:val="right" w:leader="dot" w:pos="9746"/>
        </w:tabs>
      </w:pPr>
      <w:r>
        <w:rPr>
          <w:rFonts w:cs="Times New Roman"/>
          <w:bCs/>
          <w:szCs w:val="28"/>
        </w:rPr>
        <w:fldChar w:fldCharType="begin"/>
      </w:r>
      <w:r>
        <w:rPr>
          <w:rFonts w:cs="Times New Roman"/>
          <w:bCs/>
          <w:szCs w:val="28"/>
        </w:rPr>
        <w:instrText xml:space="preserve"> HYPERLINK \l _Toc16476 </w:instrText>
      </w:r>
      <w:r>
        <w:rPr>
          <w:rFonts w:cs="Times New Roman"/>
          <w:bCs/>
          <w:szCs w:val="28"/>
        </w:rPr>
        <w:fldChar w:fldCharType="separate"/>
      </w:r>
      <w:r>
        <w:rPr>
          <w:rFonts w:ascii="方正小标宋_GBK" w:eastAsia="方正小标宋_GBK" w:cs="Times New Roman"/>
        </w:rPr>
        <w:t xml:space="preserve">第四章 </w:t>
      </w:r>
      <w:r>
        <w:rPr>
          <w:rFonts w:hint="eastAsia" w:ascii="方正小标宋_GBK" w:eastAsia="方正小标宋_GBK" w:cs="Times New Roman"/>
        </w:rPr>
        <w:t>询价</w:t>
      </w:r>
      <w:r>
        <w:rPr>
          <w:rFonts w:ascii="方正小标宋_GBK" w:eastAsia="方正小标宋_GBK" w:cs="Times New Roman"/>
        </w:rPr>
        <w:t>需求</w:t>
      </w:r>
      <w:r>
        <w:tab/>
      </w:r>
      <w:r>
        <w:fldChar w:fldCharType="begin"/>
      </w:r>
      <w:r>
        <w:instrText xml:space="preserve"> PAGEREF _Toc16476 \h </w:instrText>
      </w:r>
      <w:r>
        <w:fldChar w:fldCharType="separate"/>
      </w:r>
      <w:r>
        <w:t>17</w:t>
      </w:r>
      <w:r>
        <w:fldChar w:fldCharType="end"/>
      </w:r>
      <w:r>
        <w:rPr>
          <w:rFonts w:cs="Times New Roman"/>
          <w:bCs/>
          <w:szCs w:val="28"/>
        </w:rPr>
        <w:fldChar w:fldCharType="end"/>
      </w:r>
    </w:p>
    <w:p w14:paraId="35A30E73">
      <w:pPr>
        <w:pStyle w:val="16"/>
        <w:tabs>
          <w:tab w:val="right" w:leader="dot" w:pos="9746"/>
        </w:tabs>
      </w:pPr>
      <w:r>
        <w:rPr>
          <w:rFonts w:cs="Times New Roman"/>
          <w:bCs/>
          <w:szCs w:val="28"/>
        </w:rPr>
        <w:fldChar w:fldCharType="begin"/>
      </w:r>
      <w:r>
        <w:rPr>
          <w:rFonts w:cs="Times New Roman"/>
          <w:bCs/>
          <w:szCs w:val="28"/>
        </w:rPr>
        <w:instrText xml:space="preserve"> HYPERLINK \l _Toc23063 </w:instrText>
      </w:r>
      <w:r>
        <w:rPr>
          <w:rFonts w:cs="Times New Roman"/>
          <w:bCs/>
          <w:szCs w:val="28"/>
        </w:rPr>
        <w:fldChar w:fldCharType="separate"/>
      </w:r>
      <w:r>
        <w:rPr>
          <w:rFonts w:cs="Times New Roman"/>
        </w:rPr>
        <w:t>附件1：递交</w:t>
      </w:r>
      <w:r>
        <w:rPr>
          <w:rFonts w:hint="eastAsia" w:cs="Times New Roman"/>
        </w:rPr>
        <w:t>询价</w:t>
      </w:r>
      <w:r>
        <w:rPr>
          <w:rFonts w:cs="Times New Roman"/>
        </w:rPr>
        <w:t>申请文件签收表</w:t>
      </w:r>
      <w:r>
        <w:tab/>
      </w:r>
      <w:r>
        <w:fldChar w:fldCharType="begin"/>
      </w:r>
      <w:r>
        <w:instrText xml:space="preserve"> PAGEREF _Toc23063 \h </w:instrText>
      </w:r>
      <w:r>
        <w:fldChar w:fldCharType="separate"/>
      </w:r>
      <w:r>
        <w:t>25</w:t>
      </w:r>
      <w:r>
        <w:fldChar w:fldCharType="end"/>
      </w:r>
      <w:r>
        <w:rPr>
          <w:rFonts w:cs="Times New Roman"/>
          <w:bCs/>
          <w:szCs w:val="28"/>
        </w:rPr>
        <w:fldChar w:fldCharType="end"/>
      </w:r>
    </w:p>
    <w:p w14:paraId="1A0EC45C">
      <w:pPr>
        <w:spacing w:line="480" w:lineRule="auto"/>
        <w:jc w:val="both"/>
        <w:rPr>
          <w:rFonts w:cs="Times New Roman"/>
        </w:rPr>
      </w:pPr>
      <w:r>
        <w:rPr>
          <w:rFonts w:cs="Times New Roman"/>
          <w:bCs/>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672D381D">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1" w:name="_Toc31493"/>
      <w:bookmarkStart w:id="2" w:name="_Toc66971932"/>
      <w:r>
        <w:rPr>
          <w:rFonts w:hint="eastAsia" w:ascii="方正小标宋_GBK" w:eastAsia="方正小标宋_GBK" w:cs="Times New Roman"/>
          <w:b w:val="0"/>
          <w:color w:val="auto"/>
        </w:rPr>
        <w:t>第一章 询价邀请</w:t>
      </w:r>
      <w:bookmarkEnd w:id="1"/>
      <w:bookmarkEnd w:id="2"/>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医院羽毛球活动场地服务采购项目（第四次）</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医院羽毛球活动场地服务采购项目（第四次）</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w:t>
      </w:r>
      <w:r>
        <w:rPr>
          <w:rFonts w:hint="eastAsia" w:cs="Times New Roman"/>
          <w:b/>
          <w:color w:val="auto"/>
          <w:sz w:val="24"/>
          <w:szCs w:val="24"/>
          <w:u w:val="single"/>
          <w:lang w:val="en-US" w:eastAsia="zh-CN"/>
        </w:rPr>
        <w:t>HQ034</w:t>
      </w:r>
      <w:r>
        <w:rPr>
          <w:rFonts w:hint="eastAsia" w:ascii="宋体" w:hAnsi="宋体" w:eastAsia="宋体" w:cs="Times New Roman"/>
          <w:b/>
          <w:color w:val="auto"/>
          <w:sz w:val="24"/>
          <w:szCs w:val="24"/>
          <w:u w:val="single"/>
          <w:lang w:val="en-US" w:eastAsia="zh-CN"/>
        </w:rPr>
        <w:t>）</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3" w:name="OLE_LINK2"/>
      <w:r>
        <w:rPr>
          <w:color w:val="auto"/>
        </w:rPr>
        <w:t>为丰富全院职工业余文化生活，增强职工身体素质，营造积极健康、团结向上的医院文化氛围，计划开展职工羽毛球文体活动</w:t>
      </w:r>
      <w:r>
        <w:rPr>
          <w:rFonts w:hint="eastAsia" w:ascii="宋体" w:hAnsi="宋体" w:eastAsia="宋体" w:cs="Times New Roman"/>
          <w:color w:val="auto"/>
          <w:sz w:val="24"/>
          <w:szCs w:val="24"/>
          <w:lang w:val="en-US" w:eastAsia="zh-CN"/>
        </w:rPr>
        <w:t>，采购</w:t>
      </w:r>
      <w:r>
        <w:rPr>
          <w:rFonts w:hint="eastAsia" w:cs="Times New Roman"/>
          <w:bCs/>
          <w:color w:val="auto"/>
          <w:lang w:val="en-US" w:eastAsia="zh-CN"/>
        </w:rPr>
        <w:t>羽毛球活动场地服务</w:t>
      </w:r>
      <w:bookmarkEnd w:id="3"/>
      <w:r>
        <w:rPr>
          <w:rFonts w:hint="eastAsia"/>
          <w:color w:val="auto"/>
          <w:spacing w:val="-10"/>
          <w:sz w:val="24"/>
          <w:szCs w:val="24"/>
          <w:lang w:eastAsia="zh-CN"/>
        </w:rPr>
        <w:t>，</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s="Times New Roman"/>
          <w:color w:val="000000" w:themeColor="text1"/>
          <w:highlight w:val="none"/>
          <w:lang w:val="en-US" w:eastAsia="zh-CN"/>
          <w14:textFill>
            <w14:solidFill>
              <w14:schemeClr w14:val="tx1"/>
            </w14:solidFill>
          </w14:textFill>
        </w:rPr>
        <w:t>50000</w:t>
      </w:r>
      <w:r>
        <w:rPr>
          <w:rFonts w:hint="eastAsia" w:cs="宋体"/>
          <w:color w:val="000000" w:themeColor="text1"/>
          <w:kern w:val="0"/>
          <w:sz w:val="24"/>
          <w:szCs w:val="24"/>
          <w:highlight w:val="none"/>
          <w:lang w:val="en-US" w:eastAsia="zh-CN" w:bidi="ar"/>
          <w14:textFill>
            <w14:solidFill>
              <w14:schemeClr w14:val="tx1"/>
            </w14:solidFill>
          </w14:textFill>
        </w:rPr>
        <w:t>.00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7</w:t>
      </w:r>
      <w:r>
        <w:rPr>
          <w:rFonts w:hint="eastAsia" w:eastAsia="宋体" w:cs="Times New Roman"/>
          <w:b/>
          <w:bCs/>
          <w:u w:val="single"/>
          <w:lang w:eastAsia="zh-CN"/>
        </w:rPr>
        <w:t>月</w:t>
      </w:r>
      <w:r>
        <w:rPr>
          <w:rFonts w:hint="eastAsia" w:cs="Times New Roman"/>
          <w:b/>
          <w:bCs/>
          <w:u w:val="single"/>
          <w:lang w:val="en-US" w:eastAsia="zh-CN"/>
        </w:rPr>
        <w:t xml:space="preserve">10 </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7</w:t>
      </w:r>
      <w:r>
        <w:rPr>
          <w:rFonts w:hint="eastAsia" w:eastAsia="宋体" w:cs="Times New Roman"/>
          <w:b/>
          <w:bCs/>
          <w:u w:val="single"/>
          <w:lang w:eastAsia="zh-CN"/>
        </w:rPr>
        <w:t>月</w:t>
      </w:r>
      <w:r>
        <w:rPr>
          <w:rFonts w:hint="eastAsia" w:cs="Times New Roman"/>
          <w:b/>
          <w:bCs/>
          <w:u w:val="single"/>
          <w:lang w:val="en-US" w:eastAsia="zh-CN"/>
        </w:rPr>
        <w:t xml:space="preserve"> 10</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区人民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4" w:name="_Toc66971933"/>
      <w:bookmarkStart w:id="5" w:name="_Toc13116"/>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4"/>
      <w:bookmarkEnd w:id="5"/>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09B3F10C">
      <w:pPr>
        <w:spacing w:before="80" w:after="80" w:line="360" w:lineRule="auto"/>
        <w:ind w:firstLine="480" w:firstLineChars="200"/>
        <w:rPr>
          <w:rFonts w:ascii="宋体" w:hAnsi="宋体" w:eastAsia="宋体" w:cs="宋体"/>
          <w:b w:val="0"/>
          <w:bCs/>
          <w:color w:val="auto"/>
          <w:sz w:val="24"/>
          <w:highlight w:val="none"/>
        </w:rPr>
      </w:pPr>
      <w:r>
        <w:rPr>
          <w:rFonts w:cs="Times New Roman"/>
        </w:rPr>
        <w:t>2、</w:t>
      </w:r>
      <w:r>
        <w:rPr>
          <w:rFonts w:hint="eastAsia" w:cs="Times New Roman"/>
        </w:rPr>
        <w:t>询价</w:t>
      </w:r>
      <w:r>
        <w:rPr>
          <w:rFonts w:cs="Times New Roman"/>
        </w:rPr>
        <w:t>申请书</w:t>
      </w:r>
      <w:r>
        <w:rPr>
          <w:rFonts w:ascii="宋体" w:hAnsi="宋体" w:eastAsia="宋体" w:cs="宋体"/>
          <w:b w:val="0"/>
          <w:bCs/>
          <w:color w:val="auto"/>
          <w:sz w:val="24"/>
          <w:highlight w:val="none"/>
        </w:rPr>
        <w:t>的签署</w:t>
      </w:r>
    </w:p>
    <w:p w14:paraId="2E4834B5">
      <w:pPr>
        <w:spacing w:before="80" w:after="80" w:line="360" w:lineRule="auto"/>
        <w:ind w:firstLine="480" w:firstLineChars="200"/>
        <w:rPr>
          <w:rFonts w:cs="Times New Roman"/>
        </w:rPr>
      </w:pPr>
      <w:r>
        <w:rPr>
          <w:rFonts w:cs="Times New Roman"/>
        </w:rPr>
        <w:t>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w:t>
      </w:r>
      <w:r>
        <w:rPr>
          <w:rFonts w:hint="eastAsia" w:cs="Times New Roman"/>
          <w:lang w:val="en-US" w:eastAsia="zh-CN"/>
        </w:rPr>
        <w:t>鲜</w:t>
      </w:r>
      <w:r>
        <w:rPr>
          <w:rFonts w:cs="Times New Roman"/>
        </w:rPr>
        <w:t>章。</w:t>
      </w:r>
    </w:p>
    <w:p w14:paraId="7DB9350A">
      <w:pPr>
        <w:spacing w:before="80" w:after="80" w:line="24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申请书的正本与副本应一起包装，</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申请书的外包装应保证其密封性。封套上应清楚地载明比</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申请人的名称、项目名称。</w:t>
      </w:r>
    </w:p>
    <w:p w14:paraId="5F4AA0ED">
      <w:pPr>
        <w:pStyle w:val="9"/>
        <w:spacing w:line="240" w:lineRule="auto"/>
        <w:ind w:firstLine="480" w:firstLineChars="200"/>
        <w:rPr>
          <w:rFonts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rPr>
        <w:t>询价</w:t>
      </w:r>
      <w:r>
        <w:rPr>
          <w:rFonts w:ascii="宋体" w:hAnsi="宋体" w:eastAsia="宋体" w:cs="宋体"/>
          <w:bCs/>
          <w:color w:val="auto"/>
          <w:sz w:val="24"/>
          <w:szCs w:val="22"/>
          <w:highlight w:val="none"/>
        </w:rPr>
        <w:t>申请文件所有盖章位置，均须加盖</w:t>
      </w:r>
      <w:r>
        <w:rPr>
          <w:rFonts w:hint="eastAsia" w:cs="宋体"/>
          <w:bCs/>
          <w:color w:val="auto"/>
          <w:sz w:val="24"/>
          <w:szCs w:val="22"/>
          <w:highlight w:val="none"/>
          <w:lang w:eastAsia="zh-CN"/>
        </w:rPr>
        <w:t>询价申请</w:t>
      </w:r>
      <w:r>
        <w:rPr>
          <w:rFonts w:ascii="宋体" w:hAnsi="宋体" w:eastAsia="宋体" w:cs="宋体"/>
          <w:bCs/>
          <w:color w:val="auto"/>
          <w:sz w:val="24"/>
          <w:szCs w:val="22"/>
          <w:highlight w:val="none"/>
        </w:rPr>
        <w:t>人单位实体鲜章，电子印章不予认可。</w:t>
      </w:r>
    </w:p>
    <w:p w14:paraId="27E1EEA0">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法定代表人确认方式二选一，可加盖法人实体印章，或由法定代表人本人亲笔手写签字，打印签字、电子印章均无效。</w:t>
      </w:r>
    </w:p>
    <w:p w14:paraId="16511863">
      <w:pPr>
        <w:pStyle w:val="9"/>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 xml:space="preserve">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3E51F675">
      <w:pPr>
        <w:spacing w:before="80" w:after="80" w:line="240" w:lineRule="auto"/>
        <w:ind w:firstLine="480" w:firstLineChars="200"/>
        <w:rPr>
          <w:rFonts w:cs="Times New Roman"/>
        </w:rPr>
      </w:pPr>
      <w:r>
        <w:rPr>
          <w:rFonts w:ascii="宋体" w:hAnsi="宋体" w:eastAsia="宋体" w:cs="宋体"/>
          <w:b w:val="0"/>
          <w:bCs/>
          <w:color w:val="auto"/>
          <w:sz w:val="24"/>
          <w:highlight w:val="none"/>
        </w:rPr>
        <w:t>未按以上要求密封和加写标记的</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申请书将不予受理。</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w:t>
      </w:r>
      <w:r>
        <w:rPr>
          <w:rFonts w:hint="eastAsia" w:cs="Times New Roman"/>
          <w:b/>
          <w:sz w:val="52"/>
          <w:lang w:val="en-US" w:eastAsia="zh-CN"/>
        </w:rPr>
        <w:t>医院羽毛球活动场地服务采购项目（第四次）</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w:t>
      </w:r>
      <w:r>
        <w:rPr>
          <w:rFonts w:hint="eastAsia" w:ascii="宋体" w:hAnsi="宋体" w:cs="宋体"/>
          <w:bCs/>
          <w:sz w:val="22"/>
          <w:szCs w:val="22"/>
          <w:lang w:val="en-US" w:eastAsia="zh-CN" w:bidi="ar-SA"/>
        </w:rPr>
        <w:t>医院羽毛球活动场地服务采购项目（第四次）</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41E8AED9">
      <w:pPr>
        <w:bidi w:val="0"/>
        <w:rPr>
          <w:sz w:val="22"/>
          <w:szCs w:val="22"/>
          <w:highlight w:val="none"/>
        </w:rPr>
      </w:pPr>
      <w:r>
        <w:rPr>
          <w:sz w:val="22"/>
          <w:szCs w:val="22"/>
        </w:rPr>
        <w:t>项目</w:t>
      </w:r>
      <w:r>
        <w:rPr>
          <w:sz w:val="22"/>
          <w:szCs w:val="22"/>
          <w:highlight w:val="none"/>
        </w:rPr>
        <w:t>说明：本项目为场地服务为主、配套羽毛球为辅，采用单价加权低价中标法评审，无预估用量，按单价加权核算</w:t>
      </w:r>
      <w:r>
        <w:rPr>
          <w:rFonts w:hint="eastAsia"/>
          <w:sz w:val="22"/>
          <w:szCs w:val="22"/>
          <w:highlight w:val="none"/>
          <w:lang w:eastAsia="zh-CN"/>
        </w:rPr>
        <w:t>询价</w:t>
      </w:r>
      <w:r>
        <w:rPr>
          <w:sz w:val="22"/>
          <w:szCs w:val="22"/>
          <w:highlight w:val="none"/>
        </w:rPr>
        <w:t>总价。</w:t>
      </w:r>
    </w:p>
    <w:tbl>
      <w:tblPr>
        <w:tblStyle w:val="22"/>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5"/>
        <w:gridCol w:w="2261"/>
        <w:gridCol w:w="1481"/>
        <w:gridCol w:w="1147"/>
        <w:gridCol w:w="1254"/>
        <w:gridCol w:w="1555"/>
      </w:tblGrid>
      <w:tr w14:paraId="67C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tcPr>
          <w:p w14:paraId="052D3366">
            <w:pPr>
              <w:bidi w:val="0"/>
              <w:rPr>
                <w:sz w:val="22"/>
                <w:szCs w:val="22"/>
                <w:highlight w:val="none"/>
              </w:rPr>
            </w:pPr>
            <w:r>
              <w:rPr>
                <w:sz w:val="22"/>
                <w:szCs w:val="22"/>
                <w:highlight w:val="none"/>
              </w:rPr>
              <w:t>序号</w:t>
            </w:r>
          </w:p>
        </w:tc>
        <w:tc>
          <w:tcPr>
            <w:tcW w:w="2261" w:type="dxa"/>
            <w:tcMar>
              <w:top w:w="60" w:type="dxa"/>
              <w:left w:w="120" w:type="dxa"/>
              <w:bottom w:w="30" w:type="dxa"/>
              <w:right w:w="120" w:type="dxa"/>
            </w:tcMar>
          </w:tcPr>
          <w:p w14:paraId="2A98EF59">
            <w:pPr>
              <w:bidi w:val="0"/>
              <w:rPr>
                <w:sz w:val="22"/>
                <w:szCs w:val="22"/>
                <w:highlight w:val="none"/>
              </w:rPr>
            </w:pPr>
            <w:r>
              <w:rPr>
                <w:sz w:val="22"/>
                <w:szCs w:val="22"/>
                <w:highlight w:val="none"/>
              </w:rPr>
              <w:t>报价项目</w:t>
            </w:r>
          </w:p>
        </w:tc>
        <w:tc>
          <w:tcPr>
            <w:tcW w:w="1481" w:type="dxa"/>
            <w:tcMar>
              <w:top w:w="60" w:type="dxa"/>
              <w:left w:w="120" w:type="dxa"/>
              <w:bottom w:w="30" w:type="dxa"/>
              <w:right w:w="120" w:type="dxa"/>
            </w:tcMar>
          </w:tcPr>
          <w:p w14:paraId="3474D272">
            <w:pPr>
              <w:bidi w:val="0"/>
              <w:rPr>
                <w:sz w:val="22"/>
                <w:szCs w:val="22"/>
                <w:highlight w:val="none"/>
              </w:rPr>
            </w:pPr>
            <w:r>
              <w:rPr>
                <w:sz w:val="22"/>
                <w:szCs w:val="22"/>
                <w:highlight w:val="none"/>
              </w:rPr>
              <w:t>单位</w:t>
            </w:r>
          </w:p>
        </w:tc>
        <w:tc>
          <w:tcPr>
            <w:tcW w:w="1147" w:type="dxa"/>
            <w:tcMar>
              <w:top w:w="60" w:type="dxa"/>
              <w:left w:w="120" w:type="dxa"/>
              <w:bottom w:w="30" w:type="dxa"/>
              <w:right w:w="120" w:type="dxa"/>
            </w:tcMar>
          </w:tcPr>
          <w:p w14:paraId="212A348B">
            <w:pPr>
              <w:bidi w:val="0"/>
              <w:rPr>
                <w:sz w:val="22"/>
                <w:szCs w:val="22"/>
                <w:highlight w:val="none"/>
              </w:rPr>
            </w:pPr>
            <w:r>
              <w:rPr>
                <w:sz w:val="22"/>
                <w:szCs w:val="22"/>
                <w:highlight w:val="none"/>
              </w:rPr>
              <w:t>最高限价（元）</w:t>
            </w:r>
          </w:p>
        </w:tc>
        <w:tc>
          <w:tcPr>
            <w:tcW w:w="1254" w:type="dxa"/>
            <w:tcMar>
              <w:top w:w="60" w:type="dxa"/>
              <w:left w:w="120" w:type="dxa"/>
              <w:bottom w:w="30" w:type="dxa"/>
              <w:right w:w="120" w:type="dxa"/>
            </w:tcMar>
          </w:tcPr>
          <w:p w14:paraId="42A96C5A">
            <w:pPr>
              <w:bidi w:val="0"/>
              <w:rPr>
                <w:sz w:val="22"/>
                <w:szCs w:val="22"/>
                <w:highlight w:val="none"/>
              </w:rPr>
            </w:pPr>
            <w:r>
              <w:rPr>
                <w:sz w:val="22"/>
                <w:szCs w:val="22"/>
                <w:highlight w:val="none"/>
              </w:rPr>
              <w:t>投标报价</w:t>
            </w:r>
          </w:p>
          <w:p w14:paraId="100AD03D">
            <w:pPr>
              <w:bidi w:val="0"/>
              <w:rPr>
                <w:sz w:val="22"/>
                <w:szCs w:val="22"/>
                <w:highlight w:val="none"/>
              </w:rPr>
            </w:pPr>
            <w:r>
              <w:rPr>
                <w:sz w:val="22"/>
                <w:szCs w:val="22"/>
                <w:highlight w:val="none"/>
              </w:rPr>
              <w:t>（元）</w:t>
            </w:r>
          </w:p>
        </w:tc>
        <w:tc>
          <w:tcPr>
            <w:tcW w:w="1555" w:type="dxa"/>
            <w:tcMar>
              <w:top w:w="60" w:type="dxa"/>
              <w:left w:w="120" w:type="dxa"/>
              <w:bottom w:w="30" w:type="dxa"/>
              <w:right w:w="120" w:type="dxa"/>
            </w:tcMar>
          </w:tcPr>
          <w:p w14:paraId="58995E32">
            <w:pPr>
              <w:bidi w:val="0"/>
              <w:rPr>
                <w:sz w:val="22"/>
                <w:szCs w:val="22"/>
                <w:highlight w:val="none"/>
              </w:rPr>
            </w:pPr>
            <w:r>
              <w:rPr>
                <w:sz w:val="22"/>
                <w:szCs w:val="22"/>
                <w:highlight w:val="none"/>
              </w:rPr>
              <w:t>权重</w:t>
            </w:r>
          </w:p>
        </w:tc>
      </w:tr>
      <w:tr w14:paraId="3EB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7B371EF7">
            <w:pPr>
              <w:bidi w:val="0"/>
              <w:rPr>
                <w:sz w:val="22"/>
                <w:szCs w:val="22"/>
                <w:highlight w:val="none"/>
              </w:rPr>
            </w:pPr>
            <w:r>
              <w:rPr>
                <w:highlight w:val="none"/>
              </w:rPr>
              <w:t>1</w:t>
            </w:r>
          </w:p>
        </w:tc>
        <w:tc>
          <w:tcPr>
            <w:tcW w:w="2261" w:type="dxa"/>
            <w:tcMar>
              <w:top w:w="60" w:type="dxa"/>
              <w:left w:w="120" w:type="dxa"/>
              <w:bottom w:w="30" w:type="dxa"/>
              <w:right w:w="120" w:type="dxa"/>
            </w:tcMar>
            <w:vAlign w:val="top"/>
          </w:tcPr>
          <w:p w14:paraId="0C57D897">
            <w:pPr>
              <w:bidi w:val="0"/>
              <w:rPr>
                <w:sz w:val="22"/>
                <w:szCs w:val="22"/>
                <w:highlight w:val="none"/>
              </w:rPr>
            </w:pPr>
            <w:r>
              <w:rPr>
                <w:highlight w:val="none"/>
              </w:rPr>
              <w:t>标准场地基础使用费</w:t>
            </w:r>
          </w:p>
        </w:tc>
        <w:tc>
          <w:tcPr>
            <w:tcW w:w="1481" w:type="dxa"/>
            <w:tcMar>
              <w:top w:w="60" w:type="dxa"/>
              <w:left w:w="120" w:type="dxa"/>
              <w:bottom w:w="30" w:type="dxa"/>
              <w:right w:w="120" w:type="dxa"/>
            </w:tcMar>
            <w:vAlign w:val="top"/>
          </w:tcPr>
          <w:p w14:paraId="2684D79C">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3C8FF78E">
            <w:pPr>
              <w:bidi w:val="0"/>
              <w:rPr>
                <w:rFonts w:hint="default" w:eastAsia="宋体"/>
                <w:sz w:val="22"/>
                <w:szCs w:val="22"/>
                <w:highlight w:val="none"/>
                <w:lang w:val="en-US" w:eastAsia="zh-CN"/>
              </w:rPr>
            </w:pPr>
            <w:r>
              <w:rPr>
                <w:rFonts w:hint="eastAsia"/>
                <w:highlight w:val="none"/>
                <w:lang w:val="en-US" w:eastAsia="zh-CN"/>
              </w:rPr>
              <w:t>83.33</w:t>
            </w:r>
          </w:p>
        </w:tc>
        <w:tc>
          <w:tcPr>
            <w:tcW w:w="1254" w:type="dxa"/>
            <w:tcMar>
              <w:top w:w="60" w:type="dxa"/>
              <w:left w:w="120" w:type="dxa"/>
              <w:bottom w:w="30" w:type="dxa"/>
              <w:right w:w="120" w:type="dxa"/>
            </w:tcMar>
            <w:vAlign w:val="top"/>
          </w:tcPr>
          <w:p w14:paraId="73F8F580">
            <w:pPr>
              <w:bidi w:val="0"/>
              <w:rPr>
                <w:sz w:val="22"/>
                <w:szCs w:val="22"/>
                <w:highlight w:val="none"/>
              </w:rPr>
            </w:pPr>
          </w:p>
        </w:tc>
        <w:tc>
          <w:tcPr>
            <w:tcW w:w="1555" w:type="dxa"/>
            <w:tcMar>
              <w:top w:w="60" w:type="dxa"/>
              <w:left w:w="120" w:type="dxa"/>
              <w:bottom w:w="30" w:type="dxa"/>
              <w:right w:w="120" w:type="dxa"/>
            </w:tcMar>
            <w:vAlign w:val="top"/>
          </w:tcPr>
          <w:p w14:paraId="2B67BBFC">
            <w:pPr>
              <w:bidi w:val="0"/>
              <w:rPr>
                <w:sz w:val="22"/>
                <w:szCs w:val="22"/>
                <w:highlight w:val="none"/>
              </w:rPr>
            </w:pPr>
            <w:r>
              <w:rPr>
                <w:highlight w:val="none"/>
              </w:rPr>
              <w:t>场地权重90%</w:t>
            </w:r>
          </w:p>
        </w:tc>
      </w:tr>
      <w:tr w14:paraId="76DB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238C3AFD">
            <w:pPr>
              <w:bidi w:val="0"/>
              <w:rPr>
                <w:sz w:val="22"/>
                <w:szCs w:val="22"/>
                <w:highlight w:val="none"/>
              </w:rPr>
            </w:pPr>
            <w:r>
              <w:rPr>
                <w:highlight w:val="none"/>
              </w:rPr>
              <w:t>2</w:t>
            </w:r>
          </w:p>
        </w:tc>
        <w:tc>
          <w:tcPr>
            <w:tcW w:w="2261" w:type="dxa"/>
            <w:tcMar>
              <w:top w:w="60" w:type="dxa"/>
              <w:left w:w="120" w:type="dxa"/>
              <w:bottom w:w="30" w:type="dxa"/>
              <w:right w:w="120" w:type="dxa"/>
            </w:tcMar>
            <w:vAlign w:val="top"/>
          </w:tcPr>
          <w:p w14:paraId="39BFBD7A">
            <w:pPr>
              <w:bidi w:val="0"/>
              <w:rPr>
                <w:sz w:val="22"/>
                <w:szCs w:val="22"/>
                <w:highlight w:val="none"/>
              </w:rPr>
            </w:pPr>
            <w:r>
              <w:rPr>
                <w:highlight w:val="none"/>
              </w:rPr>
              <w:t>夏季空调附加费</w:t>
            </w:r>
          </w:p>
        </w:tc>
        <w:tc>
          <w:tcPr>
            <w:tcW w:w="1481" w:type="dxa"/>
            <w:tcMar>
              <w:top w:w="60" w:type="dxa"/>
              <w:left w:w="120" w:type="dxa"/>
              <w:bottom w:w="30" w:type="dxa"/>
              <w:right w:w="120" w:type="dxa"/>
            </w:tcMar>
            <w:vAlign w:val="top"/>
          </w:tcPr>
          <w:p w14:paraId="14507807">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054C18D1">
            <w:pPr>
              <w:bidi w:val="0"/>
              <w:rPr>
                <w:rFonts w:hint="default" w:eastAsia="宋体"/>
                <w:sz w:val="22"/>
                <w:szCs w:val="22"/>
                <w:highlight w:val="none"/>
                <w:lang w:val="en-US" w:eastAsia="zh-CN"/>
              </w:rPr>
            </w:pPr>
            <w:r>
              <w:rPr>
                <w:color w:val="0000FF"/>
                <w:highlight w:val="none"/>
              </w:rPr>
              <w:t>10</w:t>
            </w:r>
            <w:r>
              <w:rPr>
                <w:rFonts w:hint="eastAsia"/>
                <w:color w:val="0000FF"/>
                <w:highlight w:val="none"/>
                <w:lang w:val="en-US" w:eastAsia="zh-CN"/>
              </w:rPr>
              <w:t>.00</w:t>
            </w:r>
          </w:p>
        </w:tc>
        <w:tc>
          <w:tcPr>
            <w:tcW w:w="1254" w:type="dxa"/>
            <w:tcMar>
              <w:top w:w="60" w:type="dxa"/>
              <w:left w:w="120" w:type="dxa"/>
              <w:bottom w:w="30" w:type="dxa"/>
              <w:right w:w="120" w:type="dxa"/>
            </w:tcMar>
            <w:vAlign w:val="top"/>
          </w:tcPr>
          <w:p w14:paraId="41E6B593">
            <w:pPr>
              <w:bidi w:val="0"/>
              <w:rPr>
                <w:sz w:val="22"/>
                <w:szCs w:val="22"/>
                <w:highlight w:val="none"/>
              </w:rPr>
            </w:pPr>
          </w:p>
        </w:tc>
        <w:tc>
          <w:tcPr>
            <w:tcW w:w="1555" w:type="dxa"/>
            <w:tcMar>
              <w:top w:w="60" w:type="dxa"/>
              <w:left w:w="120" w:type="dxa"/>
              <w:bottom w:w="30" w:type="dxa"/>
              <w:right w:w="120" w:type="dxa"/>
            </w:tcMar>
            <w:vAlign w:val="top"/>
          </w:tcPr>
          <w:p w14:paraId="6A159F88">
            <w:pPr>
              <w:bidi w:val="0"/>
              <w:rPr>
                <w:sz w:val="22"/>
                <w:szCs w:val="22"/>
                <w:highlight w:val="none"/>
              </w:rPr>
            </w:pPr>
            <w:r>
              <w:rPr>
                <w:highlight w:val="none"/>
              </w:rPr>
              <w:t>场地权重90%</w:t>
            </w:r>
          </w:p>
        </w:tc>
      </w:tr>
      <w:tr w14:paraId="539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495" w:type="dxa"/>
            <w:vMerge w:val="restart"/>
            <w:tcMar>
              <w:top w:w="60" w:type="dxa"/>
              <w:left w:w="120" w:type="dxa"/>
              <w:bottom w:w="30" w:type="dxa"/>
              <w:right w:w="120" w:type="dxa"/>
            </w:tcMar>
            <w:vAlign w:val="top"/>
          </w:tcPr>
          <w:p w14:paraId="19417B37">
            <w:pPr>
              <w:bidi w:val="0"/>
              <w:rPr>
                <w:sz w:val="22"/>
                <w:szCs w:val="22"/>
                <w:highlight w:val="none"/>
              </w:rPr>
            </w:pPr>
            <w:r>
              <w:rPr>
                <w:highlight w:val="none"/>
              </w:rPr>
              <w:t>3</w:t>
            </w:r>
          </w:p>
        </w:tc>
        <w:tc>
          <w:tcPr>
            <w:tcW w:w="2261" w:type="dxa"/>
            <w:vMerge w:val="restart"/>
            <w:tcMar>
              <w:top w:w="60" w:type="dxa"/>
              <w:left w:w="120" w:type="dxa"/>
              <w:bottom w:w="30" w:type="dxa"/>
              <w:right w:w="120" w:type="dxa"/>
            </w:tcMar>
            <w:vAlign w:val="top"/>
          </w:tcPr>
          <w:p w14:paraId="2AE3BF0E">
            <w:pPr>
              <w:bidi w:val="0"/>
              <w:rPr>
                <w:sz w:val="22"/>
                <w:szCs w:val="22"/>
                <w:highlight w:val="none"/>
              </w:rPr>
            </w:pPr>
            <w:r>
              <w:rPr>
                <w:highlight w:val="none"/>
              </w:rPr>
              <w:t>羽毛球</w:t>
            </w:r>
          </w:p>
        </w:tc>
        <w:tc>
          <w:tcPr>
            <w:tcW w:w="1481" w:type="dxa"/>
            <w:vMerge w:val="restart"/>
            <w:tcMar>
              <w:top w:w="60" w:type="dxa"/>
              <w:left w:w="120" w:type="dxa"/>
              <w:bottom w:w="30" w:type="dxa"/>
              <w:right w:w="120" w:type="dxa"/>
            </w:tcMar>
            <w:vAlign w:val="top"/>
          </w:tcPr>
          <w:p w14:paraId="2B52F382">
            <w:pPr>
              <w:bidi w:val="0"/>
              <w:rPr>
                <w:sz w:val="22"/>
                <w:szCs w:val="22"/>
                <w:highlight w:val="none"/>
              </w:rPr>
            </w:pPr>
            <w:r>
              <w:rPr>
                <w:highlight w:val="none"/>
              </w:rPr>
              <w:t>元/桶</w:t>
            </w:r>
          </w:p>
        </w:tc>
        <w:tc>
          <w:tcPr>
            <w:tcW w:w="1147" w:type="dxa"/>
            <w:vMerge w:val="restart"/>
            <w:tcMar>
              <w:top w:w="60" w:type="dxa"/>
              <w:left w:w="120" w:type="dxa"/>
              <w:bottom w:w="30" w:type="dxa"/>
              <w:right w:w="120" w:type="dxa"/>
            </w:tcMar>
            <w:vAlign w:val="top"/>
          </w:tcPr>
          <w:p w14:paraId="373223D1">
            <w:pPr>
              <w:bidi w:val="0"/>
              <w:rPr>
                <w:sz w:val="22"/>
                <w:szCs w:val="22"/>
                <w:highlight w:val="none"/>
              </w:rPr>
            </w:pPr>
            <w:r>
              <w:rPr>
                <w:rFonts w:hint="eastAsia"/>
                <w:highlight w:val="none"/>
                <w:lang w:val="en-US" w:eastAsia="zh-CN"/>
              </w:rPr>
              <w:t>167.00</w:t>
            </w:r>
          </w:p>
        </w:tc>
        <w:tc>
          <w:tcPr>
            <w:tcW w:w="1254" w:type="dxa"/>
            <w:tcMar>
              <w:top w:w="60" w:type="dxa"/>
              <w:left w:w="120" w:type="dxa"/>
              <w:bottom w:w="30" w:type="dxa"/>
              <w:right w:w="120" w:type="dxa"/>
            </w:tcMar>
            <w:vAlign w:val="top"/>
          </w:tcPr>
          <w:p w14:paraId="77629047">
            <w:pPr>
              <w:bidi w:val="0"/>
              <w:rPr>
                <w:rFonts w:hint="eastAsia" w:eastAsia="宋体"/>
                <w:sz w:val="22"/>
                <w:szCs w:val="22"/>
                <w:highlight w:val="none"/>
                <w:lang w:eastAsia="zh-CN"/>
              </w:rPr>
            </w:pPr>
            <w:r>
              <w:rPr>
                <w:rFonts w:hint="eastAsia"/>
                <w:sz w:val="22"/>
                <w:szCs w:val="22"/>
                <w:highlight w:val="none"/>
                <w:lang w:eastAsia="zh-CN"/>
              </w:rPr>
              <w:t>羽毛球单价报价：</w:t>
            </w:r>
          </w:p>
        </w:tc>
        <w:tc>
          <w:tcPr>
            <w:tcW w:w="1555" w:type="dxa"/>
            <w:vMerge w:val="restart"/>
            <w:tcMar>
              <w:top w:w="60" w:type="dxa"/>
              <w:left w:w="120" w:type="dxa"/>
              <w:bottom w:w="30" w:type="dxa"/>
              <w:right w:w="120" w:type="dxa"/>
            </w:tcMar>
            <w:vAlign w:val="top"/>
          </w:tcPr>
          <w:p w14:paraId="23634A61">
            <w:pPr>
              <w:bidi w:val="0"/>
              <w:rPr>
                <w:sz w:val="22"/>
                <w:szCs w:val="22"/>
                <w:highlight w:val="none"/>
              </w:rPr>
            </w:pPr>
            <w:r>
              <w:rPr>
                <w:highlight w:val="none"/>
              </w:rPr>
              <w:t>球类权重10%</w:t>
            </w:r>
          </w:p>
        </w:tc>
      </w:tr>
      <w:tr w14:paraId="13F9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6" w:hRule="atLeast"/>
          <w:jc w:val="center"/>
        </w:trPr>
        <w:tc>
          <w:tcPr>
            <w:tcW w:w="495" w:type="dxa"/>
            <w:vMerge w:val="continue"/>
            <w:tcMar>
              <w:top w:w="60" w:type="dxa"/>
              <w:left w:w="120" w:type="dxa"/>
              <w:bottom w:w="30" w:type="dxa"/>
              <w:right w:w="120" w:type="dxa"/>
            </w:tcMar>
            <w:vAlign w:val="top"/>
          </w:tcPr>
          <w:p w14:paraId="54BB151B">
            <w:pPr>
              <w:bidi w:val="0"/>
            </w:pPr>
            <w:bookmarkStart w:id="6" w:name="heading_0"/>
          </w:p>
        </w:tc>
        <w:tc>
          <w:tcPr>
            <w:tcW w:w="2261" w:type="dxa"/>
            <w:vMerge w:val="continue"/>
            <w:tcMar>
              <w:top w:w="60" w:type="dxa"/>
              <w:left w:w="120" w:type="dxa"/>
              <w:bottom w:w="30" w:type="dxa"/>
              <w:right w:w="120" w:type="dxa"/>
            </w:tcMar>
            <w:vAlign w:val="top"/>
          </w:tcPr>
          <w:p w14:paraId="6CE25073">
            <w:pPr>
              <w:bidi w:val="0"/>
            </w:pPr>
          </w:p>
        </w:tc>
        <w:tc>
          <w:tcPr>
            <w:tcW w:w="1481" w:type="dxa"/>
            <w:vMerge w:val="continue"/>
            <w:tcMar>
              <w:top w:w="60" w:type="dxa"/>
              <w:left w:w="120" w:type="dxa"/>
              <w:bottom w:w="30" w:type="dxa"/>
              <w:right w:w="120" w:type="dxa"/>
            </w:tcMar>
            <w:vAlign w:val="top"/>
          </w:tcPr>
          <w:p w14:paraId="710376B3">
            <w:pPr>
              <w:bidi w:val="0"/>
            </w:pPr>
          </w:p>
        </w:tc>
        <w:tc>
          <w:tcPr>
            <w:tcW w:w="1147" w:type="dxa"/>
            <w:vMerge w:val="continue"/>
            <w:tcMar>
              <w:top w:w="60" w:type="dxa"/>
              <w:left w:w="120" w:type="dxa"/>
              <w:bottom w:w="30" w:type="dxa"/>
              <w:right w:w="120" w:type="dxa"/>
            </w:tcMar>
            <w:vAlign w:val="top"/>
          </w:tcPr>
          <w:p w14:paraId="6A5ECA6B">
            <w:pPr>
              <w:bidi w:val="0"/>
              <w:rPr>
                <w:rFonts w:hint="eastAsia"/>
                <w:lang w:val="en-US" w:eastAsia="zh-CN"/>
              </w:rPr>
            </w:pPr>
          </w:p>
        </w:tc>
        <w:tc>
          <w:tcPr>
            <w:tcW w:w="1254" w:type="dxa"/>
            <w:tcMar>
              <w:top w:w="60" w:type="dxa"/>
              <w:left w:w="120" w:type="dxa"/>
              <w:bottom w:w="30" w:type="dxa"/>
              <w:right w:w="120" w:type="dxa"/>
            </w:tcMar>
            <w:vAlign w:val="top"/>
          </w:tcPr>
          <w:p w14:paraId="2C7EDCCE">
            <w:pPr>
              <w:bidi w:val="0"/>
              <w:rPr>
                <w:rFonts w:hint="eastAsia" w:eastAsia="宋体"/>
                <w:sz w:val="22"/>
                <w:szCs w:val="22"/>
                <w:highlight w:val="none"/>
                <w:lang w:eastAsia="zh-CN"/>
              </w:rPr>
            </w:pPr>
            <w:r>
              <w:rPr>
                <w:rFonts w:hint="eastAsia"/>
                <w:sz w:val="22"/>
                <w:szCs w:val="22"/>
                <w:highlight w:val="none"/>
                <w:lang w:eastAsia="zh-CN"/>
              </w:rPr>
              <w:t>羽毛球品牌型号：</w:t>
            </w:r>
          </w:p>
        </w:tc>
        <w:tc>
          <w:tcPr>
            <w:tcW w:w="1555" w:type="dxa"/>
            <w:vMerge w:val="continue"/>
            <w:tcMar>
              <w:top w:w="60" w:type="dxa"/>
              <w:left w:w="120" w:type="dxa"/>
              <w:bottom w:w="30" w:type="dxa"/>
              <w:right w:w="120" w:type="dxa"/>
            </w:tcMar>
            <w:vAlign w:val="top"/>
          </w:tcPr>
          <w:p w14:paraId="24039B48">
            <w:pPr>
              <w:bidi w:val="0"/>
              <w:rPr>
                <w:highlight w:val="none"/>
              </w:rPr>
            </w:pPr>
          </w:p>
        </w:tc>
      </w:tr>
    </w:tbl>
    <w:p w14:paraId="4C679756">
      <w:pPr>
        <w:bidi w:val="0"/>
        <w:rPr>
          <w:sz w:val="22"/>
          <w:szCs w:val="22"/>
        </w:rPr>
      </w:pPr>
    </w:p>
    <w:p w14:paraId="6F80F2D0">
      <w:pPr>
        <w:bidi w:val="0"/>
        <w:rPr>
          <w:rFonts w:hint="eastAsia" w:eastAsia="宋体"/>
          <w:b/>
          <w:bCs/>
          <w:sz w:val="22"/>
          <w:szCs w:val="22"/>
          <w:lang w:eastAsia="zh-CN"/>
        </w:rPr>
      </w:pPr>
      <w:r>
        <w:rPr>
          <w:rFonts w:hint="eastAsia"/>
          <w:b/>
          <w:bCs/>
          <w:sz w:val="22"/>
          <w:szCs w:val="22"/>
          <w:lang w:eastAsia="zh-CN"/>
        </w:rPr>
        <w:t>一、</w:t>
      </w:r>
      <w:r>
        <w:rPr>
          <w:b/>
          <w:bCs/>
          <w:sz w:val="22"/>
          <w:szCs w:val="22"/>
        </w:rPr>
        <w:t>评审</w:t>
      </w:r>
      <w:r>
        <w:rPr>
          <w:rFonts w:hint="eastAsia"/>
          <w:b/>
          <w:bCs/>
          <w:sz w:val="22"/>
          <w:szCs w:val="22"/>
          <w:lang w:eastAsia="zh-CN"/>
        </w:rPr>
        <w:t>询价</w:t>
      </w:r>
      <w:r>
        <w:rPr>
          <w:b/>
          <w:bCs/>
          <w:sz w:val="22"/>
          <w:szCs w:val="22"/>
        </w:rPr>
        <w:t>计算规则</w:t>
      </w:r>
      <w:bookmarkEnd w:id="6"/>
      <w:r>
        <w:rPr>
          <w:rFonts w:hint="eastAsia"/>
          <w:b/>
          <w:bCs/>
          <w:sz w:val="22"/>
          <w:szCs w:val="22"/>
          <w:lang w:val="en-US" w:eastAsia="zh-CN"/>
        </w:rPr>
        <w:t xml:space="preserve"> </w:t>
      </w:r>
    </w:p>
    <w:p w14:paraId="5662D12C">
      <w:pPr>
        <w:bidi w:val="0"/>
        <w:rPr>
          <w:sz w:val="22"/>
          <w:szCs w:val="22"/>
        </w:rPr>
      </w:pPr>
      <w:r>
        <w:rPr>
          <w:sz w:val="22"/>
          <w:szCs w:val="22"/>
        </w:rPr>
        <w:t>1. 场地单价合计 = 标准场地基础使用费 + 夏季空调附加费</w:t>
      </w:r>
    </w:p>
    <w:p w14:paraId="67CABECE">
      <w:pPr>
        <w:bidi w:val="0"/>
        <w:rPr>
          <w:sz w:val="22"/>
          <w:szCs w:val="22"/>
        </w:rPr>
      </w:pPr>
      <w:r>
        <w:rPr>
          <w:sz w:val="22"/>
          <w:szCs w:val="22"/>
        </w:rPr>
        <w:t xml:space="preserve">2. 球类单价合计 = </w:t>
      </w:r>
      <w:r>
        <w:rPr>
          <w:rFonts w:hint="eastAsia"/>
          <w:sz w:val="22"/>
          <w:szCs w:val="22"/>
          <w:lang w:eastAsia="zh-CN"/>
        </w:rPr>
        <w:t>羽毛球报价</w:t>
      </w:r>
      <w:r>
        <w:rPr>
          <w:sz w:val="22"/>
          <w:szCs w:val="22"/>
        </w:rPr>
        <w:t>单价</w:t>
      </w:r>
    </w:p>
    <w:p w14:paraId="0D3FB671">
      <w:pPr>
        <w:bidi w:val="0"/>
        <w:rPr>
          <w:sz w:val="22"/>
          <w:szCs w:val="22"/>
        </w:rPr>
      </w:pPr>
      <w:r>
        <w:rPr>
          <w:sz w:val="22"/>
          <w:szCs w:val="22"/>
        </w:rPr>
        <w:t>3. 最终</w:t>
      </w:r>
      <w:r>
        <w:rPr>
          <w:rFonts w:hint="eastAsia"/>
          <w:sz w:val="22"/>
          <w:szCs w:val="22"/>
          <w:lang w:eastAsia="zh-CN"/>
        </w:rPr>
        <w:t>询价</w:t>
      </w:r>
      <w:r>
        <w:rPr>
          <w:sz w:val="22"/>
          <w:szCs w:val="22"/>
        </w:rPr>
        <w:t>总价 = 场地单价合计 × 0.9 + 球类单价合计 × 0.1</w:t>
      </w:r>
    </w:p>
    <w:p w14:paraId="2DD74B63">
      <w:pPr>
        <w:bidi w:val="0"/>
        <w:rPr>
          <w:sz w:val="22"/>
          <w:szCs w:val="22"/>
        </w:rPr>
      </w:pPr>
      <w:r>
        <w:rPr>
          <w:sz w:val="22"/>
          <w:szCs w:val="22"/>
        </w:rPr>
        <w:t>4. 评审原则：所有单项报价不得超最高限价，超限无效。</w:t>
      </w:r>
    </w:p>
    <w:p w14:paraId="3003A010">
      <w:pPr>
        <w:spacing w:before="156" w:beforeLines="50" w:after="156" w:afterLines="50"/>
        <w:rPr>
          <w:rFonts w:ascii="宋体" w:hAnsi="宋体" w:cs="宋体"/>
          <w:bCs/>
          <w:sz w:val="22"/>
          <w:szCs w:val="22"/>
        </w:rPr>
      </w:pPr>
      <w:r>
        <w:rPr>
          <w:rFonts w:hint="eastAsia" w:cs="宋体"/>
          <w:bCs/>
          <w:sz w:val="22"/>
          <w:szCs w:val="22"/>
          <w:lang w:val="en-US" w:eastAsia="zh-CN" w:bidi="ar-SA"/>
        </w:rPr>
        <w:t>二、</w:t>
      </w:r>
      <w:r>
        <w:rPr>
          <w:rFonts w:hint="eastAsia" w:ascii="宋体" w:hAnsi="宋体" w:eastAsia="宋体" w:cs="宋体"/>
          <w:bCs/>
          <w:sz w:val="22"/>
          <w:szCs w:val="22"/>
          <w:lang w:val="en-US" w:eastAsia="zh-CN" w:bidi="ar-SA"/>
        </w:rPr>
        <w:t>以上报价是响应本项目要求的全部工作内容的体现，包括本项目规定的所有产生费用。</w:t>
      </w:r>
      <w:r>
        <w:rPr>
          <w:rFonts w:hint="eastAsia" w:ascii="宋体" w:hAnsi="宋体" w:cs="宋体"/>
          <w:bCs/>
          <w:sz w:val="22"/>
          <w:szCs w:val="22"/>
        </w:rPr>
        <w:t>“报价表”为多页的，每页均应加盖</w:t>
      </w:r>
      <w:r>
        <w:rPr>
          <w:rFonts w:hint="eastAsia" w:ascii="宋体" w:hAnsi="宋体" w:cs="宋体"/>
          <w:bCs/>
          <w:sz w:val="22"/>
          <w:szCs w:val="22"/>
          <w:lang w:val="en-US" w:eastAsia="zh-CN"/>
        </w:rPr>
        <w:t>询价</w:t>
      </w:r>
      <w:r>
        <w:rPr>
          <w:rFonts w:hint="eastAsia" w:ascii="宋体" w:hAnsi="宋体" w:cs="宋体"/>
          <w:bCs/>
          <w:sz w:val="22"/>
          <w:szCs w:val="22"/>
        </w:rPr>
        <w:t>申请人公章（鲜章）。</w:t>
      </w:r>
    </w:p>
    <w:p w14:paraId="212A0EB5">
      <w:pPr>
        <w:spacing w:before="156" w:beforeLines="50" w:after="156" w:afterLines="50"/>
        <w:rPr>
          <w:rFonts w:ascii="宋体" w:hAnsi="宋体" w:cs="宋体"/>
          <w:bCs/>
          <w:sz w:val="22"/>
          <w:szCs w:val="22"/>
        </w:rPr>
      </w:pPr>
    </w:p>
    <w:p w14:paraId="7C31125D">
      <w:pPr>
        <w:spacing w:before="156" w:beforeLines="50" w:after="156" w:afterLines="50"/>
        <w:rPr>
          <w:rFonts w:hint="eastAsia" w:ascii="宋体" w:hAnsi="宋体" w:cs="宋体"/>
          <w:bCs/>
          <w:sz w:val="22"/>
          <w:szCs w:val="22"/>
        </w:rPr>
      </w:pPr>
      <w:bookmarkStart w:id="7" w:name="_Toc217446086"/>
      <w:r>
        <w:rPr>
          <w:rFonts w:hint="eastAsia" w:ascii="宋体" w:hAnsi="宋体" w:cs="宋体"/>
          <w:bCs/>
          <w:sz w:val="22"/>
          <w:szCs w:val="22"/>
          <w:lang w:eastAsia="zh-CN"/>
        </w:rPr>
        <w:t>询价</w:t>
      </w:r>
      <w:r>
        <w:rPr>
          <w:rFonts w:hint="eastAsia" w:ascii="宋体" w:hAnsi="宋体" w:cs="宋体"/>
          <w:bCs/>
          <w:sz w:val="22"/>
          <w:szCs w:val="22"/>
        </w:rPr>
        <w:t>申请人名称：</w:t>
      </w:r>
      <w:r>
        <w:rPr>
          <w:rFonts w:ascii="宋体" w:hAnsi="宋体" w:cs="宋体"/>
          <w:bCs/>
          <w:sz w:val="22"/>
          <w:szCs w:val="22"/>
          <w:u w:val="single"/>
        </w:rPr>
        <w:t xml:space="preserve">                                   </w:t>
      </w:r>
      <w:r>
        <w:rPr>
          <w:rFonts w:hint="eastAsia" w:ascii="宋体" w:hAnsi="宋体" w:cs="宋体"/>
          <w:bCs/>
          <w:sz w:val="22"/>
          <w:szCs w:val="22"/>
          <w:u w:val="single"/>
        </w:rPr>
        <w:t>（单位公章）</w:t>
      </w:r>
      <w:r>
        <w:rPr>
          <w:rFonts w:hint="eastAsia" w:ascii="宋体" w:hAnsi="宋体" w:cs="宋体"/>
          <w:bCs/>
          <w:sz w:val="22"/>
          <w:szCs w:val="22"/>
        </w:rPr>
        <w:t>。</w:t>
      </w:r>
    </w:p>
    <w:p w14:paraId="751C6AA1">
      <w:pPr>
        <w:spacing w:before="156" w:beforeLines="50" w:after="156" w:afterLines="50"/>
        <w:rPr>
          <w:rFonts w:hint="eastAsia" w:ascii="宋体" w:hAnsi="宋体" w:cs="宋体"/>
          <w:bCs/>
          <w:sz w:val="22"/>
          <w:szCs w:val="22"/>
        </w:rPr>
      </w:pPr>
      <w:r>
        <w:rPr>
          <w:rFonts w:hint="eastAsia" w:ascii="宋体" w:hAnsi="宋体" w:cs="宋体"/>
          <w:bCs/>
          <w:sz w:val="22"/>
          <w:szCs w:val="22"/>
        </w:rPr>
        <w:t>法定代表人/单位负责人或授权代表（签字或加盖个人名章）：</w:t>
      </w:r>
      <w:r>
        <w:rPr>
          <w:rFonts w:ascii="宋体" w:hAnsi="宋体" w:cs="宋体"/>
          <w:bCs/>
          <w:sz w:val="22"/>
          <w:szCs w:val="22"/>
          <w:u w:val="single"/>
        </w:rPr>
        <w:t xml:space="preserve">        </w:t>
      </w:r>
      <w:r>
        <w:rPr>
          <w:rFonts w:hint="eastAsia" w:ascii="宋体" w:hAnsi="宋体" w:cs="宋体"/>
          <w:bCs/>
          <w:sz w:val="22"/>
          <w:szCs w:val="22"/>
        </w:rPr>
        <w:t>。</w:t>
      </w:r>
    </w:p>
    <w:p w14:paraId="6DC81681">
      <w:pPr>
        <w:spacing w:before="156" w:beforeLines="50" w:after="156" w:afterLines="50"/>
        <w:rPr>
          <w:rFonts w:hint="eastAsia" w:ascii="宋体" w:hAnsi="宋体" w:cs="宋体"/>
          <w:bCs/>
          <w:sz w:val="22"/>
          <w:szCs w:val="22"/>
        </w:rPr>
      </w:pPr>
    </w:p>
    <w:p w14:paraId="038C7EDC">
      <w:pPr>
        <w:spacing w:before="156" w:beforeLines="50" w:after="156" w:afterLines="50"/>
        <w:rPr>
          <w:rFonts w:ascii="宋体" w:hAnsi="宋体" w:cs="宋体"/>
          <w:bCs/>
          <w:sz w:val="22"/>
          <w:szCs w:val="22"/>
        </w:rPr>
      </w:pPr>
      <w:r>
        <w:rPr>
          <w:rFonts w:hint="eastAsia" w:ascii="宋体" w:hAnsi="宋体" w:cs="宋体"/>
          <w:bCs/>
          <w:sz w:val="22"/>
          <w:szCs w:val="22"/>
        </w:rPr>
        <w:t>日    期：</w:t>
      </w:r>
      <w:r>
        <w:rPr>
          <w:rFonts w:ascii="宋体" w:hAnsi="宋体" w:cs="宋体"/>
          <w:bCs/>
          <w:sz w:val="22"/>
          <w:szCs w:val="22"/>
          <w:u w:val="single"/>
        </w:rPr>
        <w:t xml:space="preserve">        </w:t>
      </w:r>
      <w:r>
        <w:rPr>
          <w:rFonts w:hint="eastAsia" w:ascii="宋体" w:hAnsi="宋体" w:cs="宋体"/>
          <w:bCs/>
          <w:sz w:val="22"/>
          <w:szCs w:val="22"/>
        </w:rPr>
        <w:t>年</w:t>
      </w:r>
      <w:r>
        <w:rPr>
          <w:rFonts w:ascii="宋体" w:hAnsi="宋体" w:cs="宋体"/>
          <w:bCs/>
          <w:sz w:val="22"/>
          <w:szCs w:val="22"/>
          <w:u w:val="single"/>
        </w:rPr>
        <w:t xml:space="preserve">        </w:t>
      </w:r>
      <w:r>
        <w:rPr>
          <w:rFonts w:hint="eastAsia" w:ascii="宋体" w:hAnsi="宋体" w:cs="宋体"/>
          <w:bCs/>
          <w:sz w:val="22"/>
          <w:szCs w:val="22"/>
        </w:rPr>
        <w:t>月</w:t>
      </w:r>
      <w:r>
        <w:rPr>
          <w:rFonts w:ascii="宋体" w:hAnsi="宋体" w:cs="宋体"/>
          <w:bCs/>
          <w:sz w:val="22"/>
          <w:szCs w:val="22"/>
          <w:u w:val="single"/>
        </w:rPr>
        <w:t xml:space="preserve">        </w:t>
      </w:r>
      <w:r>
        <w:rPr>
          <w:rFonts w:hint="eastAsia" w:ascii="宋体" w:hAnsi="宋体" w:cs="宋体"/>
          <w:bCs/>
          <w:sz w:val="22"/>
          <w:szCs w:val="22"/>
        </w:rPr>
        <w:t>日。</w:t>
      </w:r>
    </w:p>
    <w:p w14:paraId="5230BCEE">
      <w:pPr>
        <w:widowControl/>
        <w:jc w:val="left"/>
        <w:rPr>
          <w:rFonts w:ascii="华文中宋" w:hAnsi="华文中宋" w:eastAsia="华文中宋" w:cs="宋体"/>
          <w:bCs w:val="0"/>
          <w:sz w:val="22"/>
          <w:szCs w:val="22"/>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7"/>
    <w:p w14:paraId="4C52686B">
      <w:pPr>
        <w:spacing w:line="360" w:lineRule="auto"/>
        <w:jc w:val="both"/>
        <w:rPr>
          <w:rFonts w:cs="Times New Roman"/>
          <w:sz w:val="22"/>
          <w:szCs w:val="22"/>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bookmarkStart w:id="8" w:name="_Toc5703"/>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bookmarkEnd w:id="8"/>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9" w:name="_Toc66971934"/>
      <w:bookmarkStart w:id="10" w:name="_Toc32005"/>
      <w:r>
        <w:rPr>
          <w:rFonts w:ascii="方正小标宋_GBK" w:eastAsia="方正小标宋_GBK" w:cs="Times New Roman"/>
          <w:b w:val="0"/>
        </w:rPr>
        <w:t>第三章 资格证明文件</w:t>
      </w:r>
      <w:bookmarkEnd w:id="9"/>
      <w:bookmarkEnd w:id="10"/>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1" w:name="_Toc66971935"/>
      <w:bookmarkStart w:id="12" w:name="_Toc16476"/>
      <w:r>
        <w:rPr>
          <w:rFonts w:hint="eastAsia" w:ascii="方正小标宋_GBK" w:eastAsia="方正小标宋_GBK" w:cs="Times New Roman"/>
          <w:b w:val="0"/>
          <w:lang w:val="en-US" w:eastAsia="zh-CN"/>
        </w:rPr>
        <w:t xml:space="preserve"> </w:t>
      </w:r>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1"/>
      <w:bookmarkEnd w:id="12"/>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3"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★一、商务要求（实质性要求，不允许负偏离）</w:t>
      </w:r>
    </w:p>
    <w:p w14:paraId="6541E37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服务期限与合同方式</w:t>
      </w:r>
    </w:p>
    <w:p w14:paraId="152F7A91">
      <w:pPr>
        <w:bidi w:val="0"/>
        <w:spacing w:line="240" w:lineRule="auto"/>
      </w:pPr>
      <w:r>
        <w:t>项目整体服务周期3年，合同一年一签。年度考核≥80分可续签，年度考核不合格，采购人有权单方终止合同、不予续签，无违约责任。</w:t>
      </w:r>
    </w:p>
    <w:p w14:paraId="32D918F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结算与付款方式</w:t>
      </w:r>
    </w:p>
    <w:p w14:paraId="702D0B5C">
      <w:pPr>
        <w:bidi w:val="0"/>
        <w:spacing w:line="240" w:lineRule="auto"/>
      </w:pPr>
      <w:r>
        <w:rPr>
          <w:rFonts w:hint="eastAsia"/>
          <w:lang w:eastAsia="zh-CN"/>
        </w:rPr>
        <w:t>本项目</w:t>
      </w:r>
      <w:r>
        <w:t>按季度据实结算，结算范围包含场地使用费、空调附加费、羽毛球耗材费等全部实际费用。供应商每季度提交合规报账资料及等额增值税发票，采购人审核无误后10个工作日内转账支付。无预付款，最终结算价按实际使用量</w:t>
      </w:r>
      <w:r>
        <w:rPr>
          <w:rFonts w:hint="eastAsia"/>
          <w:lang w:eastAsia="zh-CN"/>
        </w:rPr>
        <w:t>及</w:t>
      </w:r>
      <w:r>
        <w:t>中标固定单价核算。</w:t>
      </w:r>
    </w:p>
    <w:p w14:paraId="69468D4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报价与履约价格管理</w:t>
      </w:r>
    </w:p>
    <w:p w14:paraId="2707956B">
      <w:pPr>
        <w:bidi w:val="0"/>
        <w:spacing w:line="240" w:lineRule="auto"/>
      </w:pPr>
      <w:r>
        <w:t>投标单价为全包固定单价，包含人工、能耗、运维、清洁、耗材、运输、税费等全部成本。履约期内单价固定，供应商不得以任何理由涨价。</w:t>
      </w:r>
    </w:p>
    <w:p w14:paraId="59CB55F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报价合规要求</w:t>
      </w:r>
    </w:p>
    <w:p w14:paraId="78209226">
      <w:pPr>
        <w:numPr>
          <w:ilvl w:val="-1"/>
          <w:numId w:val="0"/>
        </w:numPr>
        <w:spacing w:line="240" w:lineRule="auto"/>
        <w:ind w:firstLine="0" w:firstLineChars="0"/>
      </w:pPr>
      <w:r>
        <w:t>所有分项报价不得超过采购文件最高限价，任意一项超限</w:t>
      </w:r>
      <w:r>
        <w:rPr>
          <w:rFonts w:hint="eastAsia"/>
          <w:lang w:val="en-US" w:eastAsia="zh-CN"/>
        </w:rPr>
        <w:t>价</w:t>
      </w:r>
      <w:r>
        <w:t>即为无效响应。本项目采用单价加权比价方式确定中标单位，据实结算。</w:t>
      </w:r>
    </w:p>
    <w:p w14:paraId="5CAA90B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服务履约保障</w:t>
      </w:r>
    </w:p>
    <w:p w14:paraId="5EEAC66D">
      <w:pPr>
        <w:bidi w:val="0"/>
        <w:spacing w:line="240" w:lineRule="auto"/>
      </w:pPr>
      <w:r>
        <w:t>履约期间不得擅自关停场地、缩减场地、更改时段、中断服务。场地需维保检修的，须提前3个工作日书面告知，并提供同等标准替代场地或调整时段，保障服务不中断。</w:t>
      </w:r>
    </w:p>
    <w:p w14:paraId="77172B2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违约管理</w:t>
      </w:r>
    </w:p>
    <w:p w14:paraId="58850FC8">
      <w:pPr>
        <w:bidi w:val="0"/>
        <w:spacing w:line="240" w:lineRule="auto"/>
        <w:rPr>
          <w:rFonts w:ascii="宋体" w:hAnsi="宋体" w:eastAsia="宋体" w:cs="宋体"/>
        </w:rPr>
      </w:pPr>
      <w:r>
        <w:rPr>
          <w:rFonts w:ascii="宋体" w:hAnsi="宋体" w:eastAsia="宋体" w:cs="宋体"/>
        </w:rPr>
        <w:t>供应商服务不达标、无故中断履约、拒不配合采购人合理需求的，采购人可责令整改、扣除相应服务费，情节严重的可单方解除合同，并纳入不良供应商名录。</w:t>
      </w:r>
    </w:p>
    <w:p w14:paraId="7E2E262D">
      <w:pPr>
        <w:numPr>
          <w:ilvl w:val="0"/>
          <w:numId w:val="3"/>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合同解除与责任</w:t>
      </w:r>
    </w:p>
    <w:p w14:paraId="3DF4A539">
      <w:pPr>
        <w:numPr>
          <w:ilvl w:val="0"/>
          <w:numId w:val="0"/>
        </w:num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因任何一方发生重大客观情况变化，致使合同难以继续履行的，双方可经友好协商一致，书面解除本合同。合同解除后，双方互不承担违约责任，互不追究对方责任，已履行部分按实际情况结清。</w:t>
      </w:r>
    </w:p>
    <w:p w14:paraId="7D6A0363">
      <w:pPr>
        <w:numPr>
          <w:ilvl w:val="0"/>
          <w:numId w:val="0"/>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8.履约验收要求</w:t>
      </w:r>
    </w:p>
    <w:p w14:paraId="5EA51C92">
      <w:pPr>
        <w:keepNext w:val="0"/>
        <w:keepLines w:val="0"/>
        <w:widowControl/>
        <w:suppressLineNumbers w:val="0"/>
        <w:jc w:val="left"/>
      </w:pPr>
      <w:r>
        <w:rPr>
          <w:rFonts w:ascii="宋体" w:hAnsi="宋体" w:eastAsia="宋体" w:cs="宋体"/>
          <w:kern w:val="0"/>
          <w:sz w:val="24"/>
          <w:szCs w:val="24"/>
          <w:lang w:val="en-US" w:eastAsia="zh-CN" w:bidi="ar"/>
        </w:rPr>
        <w:t>验收依据：以本采购文件商务要求、技术服务要求、供应商投标响应承诺、年度考核标准为唯一验收依据，所有服务及耗材必须满足实质性要求，无负偏离。</w:t>
      </w:r>
    </w:p>
    <w:p w14:paraId="1F5C8402">
      <w:pPr>
        <w:numPr>
          <w:ilvl w:val="0"/>
          <w:numId w:val="0"/>
        </w:numPr>
        <w:bidi w:val="0"/>
        <w:spacing w:line="240" w:lineRule="auto"/>
        <w:rPr>
          <w:rFonts w:hint="default" w:cs="宋体"/>
          <w:lang w:val="en-US" w:eastAsia="zh-CN"/>
        </w:rPr>
      </w:pPr>
    </w:p>
    <w:p w14:paraId="7C896A3D">
      <w:pPr>
        <w:numPr>
          <w:ilvl w:val="0"/>
          <w:numId w:val="0"/>
        </w:numPr>
        <w:bidi w:val="0"/>
        <w:spacing w:line="240" w:lineRule="auto"/>
        <w:rPr>
          <w:rFonts w:hint="eastAsia" w:ascii="宋体" w:hAnsi="宋体" w:eastAsia="宋体" w:cs="宋体"/>
          <w:lang w:val="en-US" w:eastAsia="zh-CN"/>
        </w:rPr>
      </w:pPr>
    </w:p>
    <w:p w14:paraId="2E96E6E6">
      <w:pPr>
        <w:bidi w:val="0"/>
        <w:spacing w:line="240" w:lineRule="auto"/>
        <w:rPr>
          <w:rFonts w:hint="default" w:eastAsia="宋体"/>
          <w:lang w:val="en-US" w:eastAsia="zh-CN"/>
        </w:rPr>
      </w:pPr>
    </w:p>
    <w:p w14:paraId="47265EEC">
      <w:pPr>
        <w:numPr>
          <w:ilvl w:val="-1"/>
          <w:numId w:val="0"/>
        </w:numPr>
        <w:spacing w:line="240" w:lineRule="auto"/>
        <w:ind w:firstLine="0" w:firstLineChars="0"/>
        <w:rPr>
          <w:rFonts w:hint="eastAsia" w:ascii="方正仿宋简体" w:hAnsi="方正仿宋简体" w:eastAsia="方正仿宋简体" w:cs="方正仿宋简体"/>
          <w:b/>
          <w:sz w:val="24"/>
          <w:szCs w:val="24"/>
          <w:lang w:val="en-US" w:eastAsia="zh-CN"/>
        </w:rPr>
      </w:pPr>
      <w:bookmarkStart w:id="14" w:name="heading_1"/>
      <w:r>
        <w:rPr>
          <w:rFonts w:hint="eastAsia" w:ascii="方正仿宋简体" w:hAnsi="方正仿宋简体" w:eastAsia="方正仿宋简体" w:cs="方正仿宋简体"/>
          <w:b/>
          <w:sz w:val="24"/>
          <w:szCs w:val="24"/>
          <w:lang w:val="en-US" w:eastAsia="zh-CN"/>
        </w:rPr>
        <w:t>★二、技术服务要求（全部为实质性要求，不允许负偏离）</w:t>
      </w:r>
      <w:bookmarkEnd w:id="14"/>
    </w:p>
    <w:p w14:paraId="1B204BD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场地标准</w:t>
      </w:r>
    </w:p>
    <w:p w14:paraId="08E4BADD">
      <w:pPr>
        <w:bidi w:val="0"/>
        <w:spacing w:line="240" w:lineRule="auto"/>
      </w:pPr>
      <w:r>
        <w:t>提供标准羽毛球场地，标线清晰、尺寸精准、场地完好，满足日常健身及小型内部活动使用。</w:t>
      </w:r>
    </w:p>
    <w:p w14:paraId="5CD9476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场馆层高安全</w:t>
      </w:r>
    </w:p>
    <w:p w14:paraId="59AD985C">
      <w:pPr>
        <w:bidi w:val="0"/>
        <w:spacing w:line="240" w:lineRule="auto"/>
      </w:pPr>
      <w:r>
        <w:t>场地净空高度≥9米，运动区域无遮挡障碍物、无悬挂杂物，无安全隐患。</w:t>
      </w:r>
    </w:p>
    <w:p w14:paraId="2C0690E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地面材质要求</w:t>
      </w:r>
    </w:p>
    <w:p w14:paraId="1E6D91CE">
      <w:pPr>
        <w:bidi w:val="0"/>
        <w:spacing w:line="240" w:lineRule="auto"/>
      </w:pPr>
      <w:r>
        <w:t>采用运动塑胶地板，下层带缓冲垫层；地面平整、防滑耐磨、无开裂、无鼓包、无积水打滑问题，具备专业减震防护性能。</w:t>
      </w:r>
    </w:p>
    <w:p w14:paraId="1B2CACE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场地数量要求</w:t>
      </w:r>
    </w:p>
    <w:p w14:paraId="68DF45FE">
      <w:pPr>
        <w:bidi w:val="0"/>
        <w:spacing w:line="240" w:lineRule="auto"/>
      </w:pPr>
      <w:r>
        <w:rPr>
          <w:rFonts w:hint="eastAsia"/>
          <w:lang w:eastAsia="zh-CN"/>
        </w:rPr>
        <w:t>提供</w:t>
      </w:r>
      <w:r>
        <w:t>不少于4个标准羽毛球场地，可同步独立开放使用，互不干扰。</w:t>
      </w:r>
    </w:p>
    <w:p w14:paraId="1336153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区位及停车要求</w:t>
      </w:r>
    </w:p>
    <w:p w14:paraId="15CF229E">
      <w:pPr>
        <w:bidi w:val="0"/>
        <w:spacing w:line="240" w:lineRule="auto"/>
        <w:rPr>
          <w:rFonts w:hint="eastAsia"/>
          <w:lang w:eastAsia="zh-CN"/>
        </w:rPr>
      </w:pPr>
      <w:r>
        <w:t>场馆位于成都市成华区人民医院（荆竹中路220号）直线3公里范围内，配套充足停车位，满足职工停车需求</w:t>
      </w:r>
      <w:r>
        <w:rPr>
          <w:rFonts w:hint="eastAsia"/>
          <w:lang w:eastAsia="zh-CN"/>
        </w:rPr>
        <w:t>，</w:t>
      </w:r>
      <w:r>
        <w:rPr>
          <w:rFonts w:hint="eastAsia"/>
          <w:b/>
          <w:bCs/>
          <w:color w:val="FF0000"/>
          <w:lang w:eastAsia="zh-CN"/>
        </w:rPr>
        <w:t>提供高德地图车辆导航截图佐证。</w:t>
      </w:r>
    </w:p>
    <w:p w14:paraId="08AF7CCD">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固定场次与调场要求</w:t>
      </w:r>
    </w:p>
    <w:p w14:paraId="02FC69B5">
      <w:pPr>
        <w:bidi w:val="0"/>
        <w:spacing w:line="240" w:lineRule="auto"/>
      </w:pPr>
      <w:r>
        <w:t>每周固定活动不少于2场次，单场专属时长≥2小时。供应商须无条件配合采购人合理调场、改期、临时加场需求。</w:t>
      </w:r>
    </w:p>
    <w:p w14:paraId="7C0E0B0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7. 场馆配套及环境要求</w:t>
      </w:r>
    </w:p>
    <w:p w14:paraId="6AF26145">
      <w:pPr>
        <w:bidi w:val="0"/>
        <w:spacing w:line="240" w:lineRule="auto"/>
      </w:pPr>
      <w:r>
        <w:t>场馆配备合格照明、通风、夏季空调系统，配套休息区、卫生间等设施。每场活动前后完成场地清洁、消杀、通风，保持场地整洁舒适。</w:t>
      </w:r>
    </w:p>
    <w:p w14:paraId="4B9545FB">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 羽毛球要求</w:t>
      </w:r>
    </w:p>
    <w:p w14:paraId="3BF02EFE">
      <w:pPr>
        <w:bidi w:val="0"/>
        <w:spacing w:line="240" w:lineRule="auto"/>
      </w:pPr>
      <w:r>
        <w:t>按需供应</w:t>
      </w:r>
      <w:bookmarkStart w:id="15" w:name="OLE_LINK1"/>
      <w:r>
        <w:t>羽毛球，球品质量达标、飞行稳定、耐打无损</w:t>
      </w:r>
      <w:r>
        <w:rPr>
          <w:rFonts w:hint="eastAsia"/>
          <w:lang w:eastAsia="zh-CN"/>
        </w:rPr>
        <w:t>、</w:t>
      </w:r>
      <w:r>
        <w:rPr>
          <w:lang w:val="en-US" w:eastAsia="zh-CN"/>
        </w:rPr>
        <w:t>单桶标准数量12只装，适配室内通用76/77标准球速；单球重量符合国家羽毛球通用质量标准（4.7g-5.5g），</w:t>
      </w:r>
      <w:bookmarkEnd w:id="15"/>
      <w:r>
        <w:rPr>
          <w:lang w:val="en-US" w:eastAsia="zh-CN"/>
        </w:rPr>
        <w:t>整桶产品批次统一、外观、毛型、性能高度一致。</w:t>
      </w:r>
    </w:p>
    <w:p w14:paraId="1F06702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9. 现场服务要求</w:t>
      </w:r>
    </w:p>
    <w:p w14:paraId="688712C2">
      <w:pPr>
        <w:bidi w:val="0"/>
        <w:spacing w:line="240" w:lineRule="auto"/>
      </w:pPr>
      <w:r>
        <w:t>活动期间安排专人在岗对接，负责场地保障、问题处置、秩序维护，快速响应采购人现场需求。</w:t>
      </w:r>
      <w:bookmarkStart w:id="16" w:name="heading_2"/>
    </w:p>
    <w:p w14:paraId="6A333C30">
      <w:pPr>
        <w:bidi w:val="0"/>
        <w:spacing w:line="240" w:lineRule="auto"/>
        <w:rPr>
          <w:rFonts w:hint="eastAsia" w:ascii="方正仿宋简体" w:hAnsi="方正仿宋简体" w:eastAsia="方正仿宋简体" w:cs="方正仿宋简体"/>
          <w:b/>
          <w:sz w:val="24"/>
          <w:szCs w:val="24"/>
          <w:lang w:val="en-US" w:eastAsia="zh-CN"/>
        </w:rPr>
      </w:pPr>
    </w:p>
    <w:p w14:paraId="175D01A8">
      <w:p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三、年度服务考核评分表</w:t>
      </w:r>
      <w:bookmarkEnd w:id="16"/>
    </w:p>
    <w:p w14:paraId="7957910A">
      <w:pPr>
        <w:bidi w:val="0"/>
        <w:spacing w:line="240" w:lineRule="auto"/>
      </w:pPr>
      <w:r>
        <w:t>本考核表为项目年度续签核心依据，实行百分制考核，年度考核总分≥80分视为考核合格，可予以续签合同；总分＜80分视为考核不合格，采购人有权不予续签、单方终止合同，不承担任何违约责任。考核内容全部对应本项目商务、技术实质性要求，由采购人据实打分存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6"/>
        <w:gridCol w:w="1518"/>
        <w:gridCol w:w="1326"/>
        <w:gridCol w:w="5416"/>
        <w:gridCol w:w="683"/>
      </w:tblGrid>
      <w:tr w14:paraId="0F26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3CD70D0D">
            <w:pPr>
              <w:bidi w:val="0"/>
            </w:pPr>
            <w:r>
              <w:t>序号</w:t>
            </w:r>
          </w:p>
        </w:tc>
        <w:tc>
          <w:tcPr>
            <w:tcW w:w="1518" w:type="dxa"/>
            <w:tcMar>
              <w:top w:w="60" w:type="dxa"/>
              <w:left w:w="120" w:type="dxa"/>
              <w:bottom w:w="30" w:type="dxa"/>
              <w:right w:w="120" w:type="dxa"/>
            </w:tcMar>
          </w:tcPr>
          <w:p w14:paraId="0C56AF81">
            <w:pPr>
              <w:bidi w:val="0"/>
            </w:pPr>
            <w:r>
              <w:t>考核项目</w:t>
            </w:r>
          </w:p>
        </w:tc>
        <w:tc>
          <w:tcPr>
            <w:tcW w:w="1326" w:type="dxa"/>
            <w:tcMar>
              <w:top w:w="60" w:type="dxa"/>
              <w:left w:w="120" w:type="dxa"/>
              <w:bottom w:w="30" w:type="dxa"/>
              <w:right w:w="120" w:type="dxa"/>
            </w:tcMar>
          </w:tcPr>
          <w:p w14:paraId="7900AA1B">
            <w:pPr>
              <w:bidi w:val="0"/>
            </w:pPr>
            <w:r>
              <w:t>分值（100分）</w:t>
            </w:r>
          </w:p>
        </w:tc>
        <w:tc>
          <w:tcPr>
            <w:tcW w:w="5416" w:type="dxa"/>
            <w:tcMar>
              <w:top w:w="60" w:type="dxa"/>
              <w:left w:w="120" w:type="dxa"/>
              <w:bottom w:w="30" w:type="dxa"/>
              <w:right w:w="120" w:type="dxa"/>
            </w:tcMar>
          </w:tcPr>
          <w:p w14:paraId="14CE1E47">
            <w:pPr>
              <w:bidi w:val="0"/>
            </w:pPr>
            <w:r>
              <w:t>考核标准及扣分细则</w:t>
            </w:r>
          </w:p>
        </w:tc>
        <w:tc>
          <w:tcPr>
            <w:tcW w:w="683" w:type="dxa"/>
            <w:tcMar>
              <w:top w:w="60" w:type="dxa"/>
              <w:left w:w="120" w:type="dxa"/>
              <w:bottom w:w="30" w:type="dxa"/>
              <w:right w:w="120" w:type="dxa"/>
            </w:tcMar>
          </w:tcPr>
          <w:p w14:paraId="15923EF5">
            <w:pPr>
              <w:bidi w:val="0"/>
            </w:pPr>
            <w:r>
              <w:t>得分</w:t>
            </w:r>
          </w:p>
        </w:tc>
      </w:tr>
      <w:tr w14:paraId="455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038C0E8">
            <w:pPr>
              <w:bidi w:val="0"/>
            </w:pPr>
            <w:r>
              <w:t>1</w:t>
            </w:r>
          </w:p>
        </w:tc>
        <w:tc>
          <w:tcPr>
            <w:tcW w:w="1518" w:type="dxa"/>
            <w:tcMar>
              <w:top w:w="60" w:type="dxa"/>
              <w:left w:w="120" w:type="dxa"/>
              <w:bottom w:w="30" w:type="dxa"/>
              <w:right w:w="120" w:type="dxa"/>
            </w:tcMar>
          </w:tcPr>
          <w:p w14:paraId="402136F0">
            <w:pPr>
              <w:bidi w:val="0"/>
            </w:pPr>
            <w:r>
              <w:t>场地数量及开放保障</w:t>
            </w:r>
          </w:p>
        </w:tc>
        <w:tc>
          <w:tcPr>
            <w:tcW w:w="1326" w:type="dxa"/>
            <w:tcMar>
              <w:top w:w="60" w:type="dxa"/>
              <w:left w:w="120" w:type="dxa"/>
              <w:bottom w:w="30" w:type="dxa"/>
              <w:right w:w="120" w:type="dxa"/>
            </w:tcMar>
          </w:tcPr>
          <w:p w14:paraId="14186154">
            <w:pPr>
              <w:bidi w:val="0"/>
            </w:pPr>
            <w:r>
              <w:t>25</w:t>
            </w:r>
          </w:p>
        </w:tc>
        <w:tc>
          <w:tcPr>
            <w:tcW w:w="5416" w:type="dxa"/>
            <w:tcMar>
              <w:top w:w="60" w:type="dxa"/>
              <w:left w:w="120" w:type="dxa"/>
              <w:bottom w:w="30" w:type="dxa"/>
              <w:right w:w="120" w:type="dxa"/>
            </w:tcMar>
          </w:tcPr>
          <w:p w14:paraId="6B1DE397">
            <w:pPr>
              <w:bidi w:val="0"/>
            </w:pPr>
            <w:r>
              <w:t>常态化保障不少于4个标准场地可同步开放使用，场地独立可用、互不干扰，全程稳定供应。全程无违规情况得满分；无故缩减场地、临时封闭场地、场地无法正常使用的，每次扣5分，扣完本项分值为止。</w:t>
            </w:r>
          </w:p>
        </w:tc>
        <w:tc>
          <w:tcPr>
            <w:tcW w:w="683" w:type="dxa"/>
            <w:tcMar>
              <w:top w:w="60" w:type="dxa"/>
              <w:left w:w="120" w:type="dxa"/>
              <w:bottom w:w="30" w:type="dxa"/>
              <w:right w:w="120" w:type="dxa"/>
            </w:tcMar>
          </w:tcPr>
          <w:p w14:paraId="0F203D6F">
            <w:pPr>
              <w:bidi w:val="0"/>
            </w:pPr>
          </w:p>
        </w:tc>
      </w:tr>
      <w:tr w14:paraId="403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F23A598">
            <w:pPr>
              <w:bidi w:val="0"/>
            </w:pPr>
            <w:r>
              <w:t>2</w:t>
            </w:r>
          </w:p>
        </w:tc>
        <w:tc>
          <w:tcPr>
            <w:tcW w:w="1518" w:type="dxa"/>
            <w:tcMar>
              <w:top w:w="60" w:type="dxa"/>
              <w:left w:w="120" w:type="dxa"/>
              <w:bottom w:w="30" w:type="dxa"/>
              <w:right w:w="120" w:type="dxa"/>
            </w:tcMar>
          </w:tcPr>
          <w:p w14:paraId="1C4C8540">
            <w:pPr>
              <w:bidi w:val="0"/>
            </w:pPr>
            <w:r>
              <w:t>固定场次及调场配合度</w:t>
            </w:r>
          </w:p>
        </w:tc>
        <w:tc>
          <w:tcPr>
            <w:tcW w:w="1326" w:type="dxa"/>
            <w:tcMar>
              <w:top w:w="60" w:type="dxa"/>
              <w:left w:w="120" w:type="dxa"/>
              <w:bottom w:w="30" w:type="dxa"/>
              <w:right w:w="120" w:type="dxa"/>
            </w:tcMar>
          </w:tcPr>
          <w:p w14:paraId="0909ADE2">
            <w:pPr>
              <w:bidi w:val="0"/>
            </w:pPr>
            <w:r>
              <w:t>25</w:t>
            </w:r>
          </w:p>
        </w:tc>
        <w:tc>
          <w:tcPr>
            <w:tcW w:w="5416" w:type="dxa"/>
            <w:tcMar>
              <w:top w:w="60" w:type="dxa"/>
              <w:left w:w="120" w:type="dxa"/>
              <w:bottom w:w="30" w:type="dxa"/>
              <w:right w:w="120" w:type="dxa"/>
            </w:tcMar>
          </w:tcPr>
          <w:p w14:paraId="109332CC">
            <w:pPr>
              <w:bidi w:val="0"/>
            </w:pPr>
            <w:r>
              <w:t>每周</w:t>
            </w:r>
            <w:r>
              <w:rPr>
                <w:rFonts w:hint="eastAsia"/>
                <w:lang w:eastAsia="zh-CN"/>
              </w:rPr>
              <w:t>可提供</w:t>
            </w:r>
            <w:r>
              <w:t>固定不少于2场活动、单场时长不低于2小时，按时开放；积极配合采购人临时加场、调场、改期、专场活动等需求。拒不配合采购人合理调场、加场需求每次扣5分，扣完本项分值为止。</w:t>
            </w:r>
          </w:p>
        </w:tc>
        <w:tc>
          <w:tcPr>
            <w:tcW w:w="683" w:type="dxa"/>
            <w:tcMar>
              <w:top w:w="60" w:type="dxa"/>
              <w:left w:w="120" w:type="dxa"/>
              <w:bottom w:w="30" w:type="dxa"/>
              <w:right w:w="120" w:type="dxa"/>
            </w:tcMar>
          </w:tcPr>
          <w:p w14:paraId="0A0ABA42">
            <w:pPr>
              <w:bidi w:val="0"/>
            </w:pPr>
          </w:p>
        </w:tc>
      </w:tr>
      <w:tr w14:paraId="558A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6AB02B18">
            <w:pPr>
              <w:bidi w:val="0"/>
            </w:pPr>
            <w:r>
              <w:t>3</w:t>
            </w:r>
          </w:p>
        </w:tc>
        <w:tc>
          <w:tcPr>
            <w:tcW w:w="1518" w:type="dxa"/>
            <w:tcMar>
              <w:top w:w="60" w:type="dxa"/>
              <w:left w:w="120" w:type="dxa"/>
              <w:bottom w:w="30" w:type="dxa"/>
              <w:right w:w="120" w:type="dxa"/>
            </w:tcMar>
          </w:tcPr>
          <w:p w14:paraId="5F490BAD">
            <w:pPr>
              <w:bidi w:val="0"/>
            </w:pPr>
            <w:r>
              <w:t>场馆环境及配套服务</w:t>
            </w:r>
          </w:p>
        </w:tc>
        <w:tc>
          <w:tcPr>
            <w:tcW w:w="1326" w:type="dxa"/>
            <w:tcMar>
              <w:top w:w="60" w:type="dxa"/>
              <w:left w:w="120" w:type="dxa"/>
              <w:bottom w:w="30" w:type="dxa"/>
              <w:right w:w="120" w:type="dxa"/>
            </w:tcMar>
          </w:tcPr>
          <w:p w14:paraId="61D6DABE">
            <w:pPr>
              <w:bidi w:val="0"/>
            </w:pPr>
            <w:r>
              <w:t>30</w:t>
            </w:r>
          </w:p>
        </w:tc>
        <w:tc>
          <w:tcPr>
            <w:tcW w:w="5416" w:type="dxa"/>
            <w:tcMar>
              <w:top w:w="60" w:type="dxa"/>
              <w:left w:w="120" w:type="dxa"/>
              <w:bottom w:w="30" w:type="dxa"/>
              <w:right w:w="120" w:type="dxa"/>
            </w:tcMar>
          </w:tcPr>
          <w:p w14:paraId="15E33F44">
            <w:pPr>
              <w:bidi w:val="0"/>
            </w:pPr>
            <w:r>
              <w:t>场馆通风、照明、空调、休息区、卫生间、停车位等配套设施完好可用，运行正常；每场活动前后供应商必须完成场地清洁、消杀、通风工作，保持场地干净整洁、无杂物、无异味、环境舒适。配套设施故障未及时修复、场地脏乱、消杀不到位、停车保障不足的，每次扣4分，扣完本项分值为止。</w:t>
            </w:r>
          </w:p>
        </w:tc>
        <w:tc>
          <w:tcPr>
            <w:tcW w:w="683" w:type="dxa"/>
            <w:tcMar>
              <w:top w:w="60" w:type="dxa"/>
              <w:left w:w="120" w:type="dxa"/>
              <w:bottom w:w="30" w:type="dxa"/>
              <w:right w:w="120" w:type="dxa"/>
            </w:tcMar>
          </w:tcPr>
          <w:p w14:paraId="6C4BF5F1">
            <w:pPr>
              <w:bidi w:val="0"/>
            </w:pPr>
          </w:p>
        </w:tc>
      </w:tr>
      <w:tr w14:paraId="7F1B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09ED5D6B">
            <w:pPr>
              <w:bidi w:val="0"/>
            </w:pPr>
            <w:r>
              <w:t>4</w:t>
            </w:r>
          </w:p>
        </w:tc>
        <w:tc>
          <w:tcPr>
            <w:tcW w:w="1518" w:type="dxa"/>
            <w:tcMar>
              <w:top w:w="60" w:type="dxa"/>
              <w:left w:w="120" w:type="dxa"/>
              <w:bottom w:w="30" w:type="dxa"/>
              <w:right w:w="120" w:type="dxa"/>
            </w:tcMar>
          </w:tcPr>
          <w:p w14:paraId="0D754479">
            <w:pPr>
              <w:bidi w:val="0"/>
            </w:pPr>
            <w:r>
              <w:t>耗材供应履约情况</w:t>
            </w:r>
          </w:p>
        </w:tc>
        <w:tc>
          <w:tcPr>
            <w:tcW w:w="1326" w:type="dxa"/>
            <w:tcMar>
              <w:top w:w="60" w:type="dxa"/>
              <w:left w:w="120" w:type="dxa"/>
              <w:bottom w:w="30" w:type="dxa"/>
              <w:right w:w="120" w:type="dxa"/>
            </w:tcMar>
          </w:tcPr>
          <w:p w14:paraId="57C41DBC">
            <w:pPr>
              <w:bidi w:val="0"/>
            </w:pPr>
            <w:r>
              <w:t>10</w:t>
            </w:r>
          </w:p>
        </w:tc>
        <w:tc>
          <w:tcPr>
            <w:tcW w:w="5416" w:type="dxa"/>
            <w:tcMar>
              <w:top w:w="60" w:type="dxa"/>
              <w:left w:w="120" w:type="dxa"/>
              <w:bottom w:w="30" w:type="dxa"/>
              <w:right w:w="120" w:type="dxa"/>
            </w:tcMar>
          </w:tcPr>
          <w:p w14:paraId="478A6E61">
            <w:pPr>
              <w:bidi w:val="0"/>
            </w:pPr>
            <w:r>
              <w:t>按需及时供应羽毛球，球品质量达标、飞行稳定、耐打无破损，履约期内严格执行投标固定单价，无涨价行为。供货不及时、球品质量不达标每次扣</w:t>
            </w:r>
            <w:r>
              <w:rPr>
                <w:rFonts w:hint="eastAsia"/>
                <w:lang w:val="en-US" w:eastAsia="zh-CN"/>
              </w:rPr>
              <w:t>4</w:t>
            </w:r>
            <w:r>
              <w:t>分，擅自涨价本项计0分。</w:t>
            </w:r>
          </w:p>
        </w:tc>
        <w:tc>
          <w:tcPr>
            <w:tcW w:w="683" w:type="dxa"/>
            <w:tcMar>
              <w:top w:w="60" w:type="dxa"/>
              <w:left w:w="120" w:type="dxa"/>
              <w:bottom w:w="30" w:type="dxa"/>
              <w:right w:w="120" w:type="dxa"/>
            </w:tcMar>
          </w:tcPr>
          <w:p w14:paraId="4331A5FD">
            <w:pPr>
              <w:bidi w:val="0"/>
            </w:pPr>
          </w:p>
        </w:tc>
      </w:tr>
      <w:tr w14:paraId="266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B7CC5F2">
            <w:pPr>
              <w:bidi w:val="0"/>
            </w:pPr>
            <w:r>
              <w:t>5</w:t>
            </w:r>
          </w:p>
        </w:tc>
        <w:tc>
          <w:tcPr>
            <w:tcW w:w="1518" w:type="dxa"/>
            <w:tcMar>
              <w:top w:w="60" w:type="dxa"/>
              <w:left w:w="120" w:type="dxa"/>
              <w:bottom w:w="30" w:type="dxa"/>
              <w:right w:w="120" w:type="dxa"/>
            </w:tcMar>
          </w:tcPr>
          <w:p w14:paraId="16EB59A8">
            <w:pPr>
              <w:bidi w:val="0"/>
            </w:pPr>
            <w:r>
              <w:t>现场服务及售后响应</w:t>
            </w:r>
          </w:p>
        </w:tc>
        <w:tc>
          <w:tcPr>
            <w:tcW w:w="1326" w:type="dxa"/>
            <w:tcMar>
              <w:top w:w="60" w:type="dxa"/>
              <w:left w:w="120" w:type="dxa"/>
              <w:bottom w:w="30" w:type="dxa"/>
              <w:right w:w="120" w:type="dxa"/>
            </w:tcMar>
          </w:tcPr>
          <w:p w14:paraId="4F7C1AFC">
            <w:pPr>
              <w:bidi w:val="0"/>
            </w:pPr>
            <w:r>
              <w:t>10</w:t>
            </w:r>
          </w:p>
        </w:tc>
        <w:tc>
          <w:tcPr>
            <w:tcW w:w="5416" w:type="dxa"/>
            <w:tcMar>
              <w:top w:w="60" w:type="dxa"/>
              <w:left w:w="120" w:type="dxa"/>
              <w:bottom w:w="30" w:type="dxa"/>
              <w:right w:w="120" w:type="dxa"/>
            </w:tcMar>
          </w:tcPr>
          <w:p w14:paraId="74DBDE94">
            <w:pPr>
              <w:bidi w:val="0"/>
            </w:pPr>
            <w:r>
              <w:t>活动期间专人在岗对接，全程做好场地保障、秩序维护、问题处置工作，对采购人提出的合理需求响应及时、处置高效、服务态度良好。无人在岗、响应拖沓、服务态度差、产生有效服务投诉的每次扣3分，扣完本项分值为止。</w:t>
            </w:r>
          </w:p>
        </w:tc>
        <w:tc>
          <w:tcPr>
            <w:tcW w:w="683" w:type="dxa"/>
            <w:tcMar>
              <w:top w:w="60" w:type="dxa"/>
              <w:left w:w="120" w:type="dxa"/>
              <w:bottom w:w="30" w:type="dxa"/>
              <w:right w:w="120" w:type="dxa"/>
            </w:tcMar>
          </w:tcPr>
          <w:p w14:paraId="61EFDDB0">
            <w:pPr>
              <w:bidi w:val="0"/>
            </w:pPr>
          </w:p>
        </w:tc>
      </w:tr>
      <w:tr w14:paraId="17C2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06" w:type="dxa"/>
            <w:gridSpan w:val="4"/>
            <w:tcMar>
              <w:top w:w="60" w:type="dxa"/>
              <w:left w:w="120" w:type="dxa"/>
              <w:bottom w:w="30" w:type="dxa"/>
              <w:right w:w="120" w:type="dxa"/>
            </w:tcMar>
          </w:tcPr>
          <w:p w14:paraId="56D06B94">
            <w:pPr>
              <w:bidi w:val="0"/>
            </w:pPr>
            <w:r>
              <w:t>年度考核总分</w:t>
            </w:r>
          </w:p>
        </w:tc>
        <w:tc>
          <w:tcPr>
            <w:tcW w:w="683" w:type="dxa"/>
            <w:tcMar>
              <w:top w:w="60" w:type="dxa"/>
              <w:left w:w="120" w:type="dxa"/>
              <w:bottom w:w="30" w:type="dxa"/>
              <w:right w:w="120" w:type="dxa"/>
            </w:tcMar>
          </w:tcPr>
          <w:p w14:paraId="1B233EAF">
            <w:pPr>
              <w:bidi w:val="0"/>
            </w:pPr>
          </w:p>
        </w:tc>
      </w:tr>
    </w:tbl>
    <w:p w14:paraId="4E430D64">
      <w:pPr>
        <w:bidi w:val="0"/>
      </w:pPr>
      <w:r>
        <w:t>考核结果判定说明</w:t>
      </w:r>
    </w:p>
    <w:p w14:paraId="61C75E76">
      <w:pPr>
        <w:bidi w:val="0"/>
      </w:pPr>
      <w:r>
        <w:t>1. 考核周期：自然年度周期考核，作为次年合同续签唯一依据；</w:t>
      </w:r>
    </w:p>
    <w:p w14:paraId="6D6630B9">
      <w:pPr>
        <w:bidi w:val="0"/>
      </w:pPr>
      <w:r>
        <w:t>2. 合格标准：总分≥80分（合格，准予续签）；总分＜80分（不合格，不予续签）；</w:t>
      </w:r>
    </w:p>
    <w:p w14:paraId="239FBE9D">
      <w:pPr>
        <w:bidi w:val="0"/>
      </w:pPr>
      <w:r>
        <w:t>3. 一票否决：履约期间出现擅自涨价、长期关停场地、重大安全隐患、多次拒不配合采购人需求等严重违约行为，直接判定考核不合格，无条件终止合同；</w:t>
      </w:r>
    </w:p>
    <w:p w14:paraId="2FCB13C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3"/>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hint="eastAsia" w:cs="Times New Roman"/>
          <w:b/>
          <w:bCs/>
          <w:color w:val="FF0000"/>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b/>
          <w:bCs/>
          <w:color w:val="FF0000"/>
          <w:lang w:eastAsia="zh-CN"/>
        </w:rPr>
        <w:t>（</w:t>
      </w:r>
      <w:r>
        <w:rPr>
          <w:rFonts w:hint="eastAsia" w:cs="Times New Roman"/>
          <w:b/>
          <w:bCs/>
          <w:color w:val="FF0000"/>
        </w:rPr>
        <w:t>单价加权低价中标法</w:t>
      </w:r>
      <w:r>
        <w:rPr>
          <w:rFonts w:hint="eastAsia" w:cs="Times New Roman"/>
          <w:b/>
          <w:bCs/>
          <w:color w:val="FF0000"/>
          <w:lang w:eastAsia="zh-CN"/>
        </w:rPr>
        <w:t>）</w:t>
      </w:r>
      <w:r>
        <w:rPr>
          <w:rFonts w:hint="eastAsia" w:cs="Times New Roman"/>
          <w:b/>
          <w:bCs/>
          <w:color w:val="FF0000"/>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4A609B0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w:t>
      </w:r>
      <w:r>
        <w:rPr>
          <w:rFonts w:hint="eastAsia" w:cs="Times New Roman"/>
          <w:color w:val="auto"/>
          <w:lang w:eastAsia="zh-CN"/>
        </w:rPr>
        <w:t>评审</w:t>
      </w:r>
      <w:r>
        <w:rPr>
          <w:rFonts w:hint="eastAsia" w:cs="Times New Roman"/>
          <w:color w:val="auto"/>
        </w:rPr>
        <w:t>过程中出现下列情形之一的，</w:t>
      </w:r>
      <w:r>
        <w:rPr>
          <w:rFonts w:hint="eastAsia" w:cs="Times New Roman"/>
          <w:color w:val="auto"/>
          <w:lang w:eastAsia="zh-CN"/>
        </w:rPr>
        <w:t>评审</w:t>
      </w:r>
      <w:r>
        <w:rPr>
          <w:rFonts w:hint="eastAsia" w:cs="Times New Roman"/>
          <w:color w:val="auto"/>
        </w:rPr>
        <w:t>委员会应当启动异常低价投标审查程序：</w:t>
      </w:r>
    </w:p>
    <w:p w14:paraId="77278B24">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3.1</w:t>
      </w:r>
      <w:r>
        <w:rPr>
          <w:rFonts w:hint="eastAsia" w:cs="Times New Roman"/>
          <w:color w:val="auto"/>
          <w:lang w:eastAsia="zh-CN"/>
        </w:rPr>
        <w:t>询价申请报价</w:t>
      </w:r>
      <w:r>
        <w:rPr>
          <w:rFonts w:hint="eastAsia" w:cs="Times New Roman"/>
          <w:color w:val="auto"/>
        </w:rPr>
        <w:t>低于全部通过符合性审查供应商</w:t>
      </w:r>
      <w:r>
        <w:rPr>
          <w:rFonts w:hint="eastAsia" w:cs="Times New Roman"/>
          <w:color w:val="auto"/>
          <w:lang w:eastAsia="zh-CN"/>
        </w:rPr>
        <w:t>询价申请报价</w:t>
      </w:r>
      <w:r>
        <w:rPr>
          <w:rFonts w:hint="eastAsia" w:cs="Times New Roman"/>
          <w:color w:val="auto"/>
        </w:rPr>
        <w:t>平均值 50 %的，即</w:t>
      </w:r>
      <w:r>
        <w:rPr>
          <w:rFonts w:hint="eastAsia" w:cs="Times New Roman"/>
          <w:color w:val="auto"/>
          <w:lang w:eastAsia="zh-CN"/>
        </w:rPr>
        <w:t>询价申请报价</w:t>
      </w:r>
      <w:r>
        <w:rPr>
          <w:rFonts w:hint="eastAsia" w:cs="Times New Roman"/>
          <w:color w:val="auto"/>
        </w:rPr>
        <w:t>&lt;全部通过符合性审查供应商</w:t>
      </w:r>
      <w:r>
        <w:rPr>
          <w:rFonts w:hint="eastAsia" w:cs="Times New Roman"/>
          <w:color w:val="auto"/>
          <w:lang w:eastAsia="zh-CN"/>
        </w:rPr>
        <w:t>询价申请报价</w:t>
      </w:r>
      <w:r>
        <w:rPr>
          <w:rFonts w:hint="eastAsia" w:cs="Times New Roman"/>
          <w:color w:val="auto"/>
        </w:rPr>
        <w:t>平均值× 50 %；</w:t>
      </w:r>
    </w:p>
    <w:p w14:paraId="4311E81A">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3.2</w:t>
      </w:r>
      <w:r>
        <w:rPr>
          <w:rFonts w:hint="eastAsia" w:cs="Times New Roman"/>
          <w:color w:val="auto"/>
          <w:lang w:eastAsia="zh-CN"/>
        </w:rPr>
        <w:t>询价申请报价</w:t>
      </w:r>
      <w:r>
        <w:rPr>
          <w:rFonts w:hint="eastAsia" w:cs="Times New Roman"/>
          <w:color w:val="auto"/>
        </w:rPr>
        <w:t>低于通过符合性审查的次低报价供应商</w:t>
      </w:r>
      <w:r>
        <w:rPr>
          <w:rFonts w:hint="eastAsia" w:cs="Times New Roman"/>
          <w:color w:val="auto"/>
          <w:lang w:eastAsia="zh-CN"/>
        </w:rPr>
        <w:t>询价申请报价</w:t>
      </w:r>
      <w:r>
        <w:rPr>
          <w:rFonts w:hint="eastAsia" w:cs="Times New Roman"/>
          <w:color w:val="auto"/>
        </w:rPr>
        <w:t xml:space="preserve"> 50 %的，即</w:t>
      </w:r>
      <w:r>
        <w:rPr>
          <w:rFonts w:hint="eastAsia" w:cs="Times New Roman"/>
          <w:color w:val="auto"/>
          <w:lang w:eastAsia="zh-CN"/>
        </w:rPr>
        <w:t>询价申请报价</w:t>
      </w:r>
      <w:r>
        <w:rPr>
          <w:rFonts w:hint="eastAsia" w:cs="Times New Roman"/>
          <w:color w:val="auto"/>
        </w:rPr>
        <w:t>&lt;通过符合性审查的次低报价供应商</w:t>
      </w:r>
      <w:r>
        <w:rPr>
          <w:rFonts w:hint="eastAsia" w:cs="Times New Roman"/>
          <w:color w:val="auto"/>
          <w:lang w:eastAsia="zh-CN"/>
        </w:rPr>
        <w:t>询价申请报价</w:t>
      </w:r>
      <w:r>
        <w:rPr>
          <w:rFonts w:hint="eastAsia" w:cs="Times New Roman"/>
          <w:color w:val="auto"/>
        </w:rPr>
        <w:t>× 50 %；</w:t>
      </w:r>
    </w:p>
    <w:p w14:paraId="2102096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3.3</w:t>
      </w:r>
      <w:r>
        <w:rPr>
          <w:rFonts w:hint="eastAsia" w:cs="Times New Roman"/>
          <w:color w:val="auto"/>
          <w:lang w:eastAsia="zh-CN"/>
        </w:rPr>
        <w:t>询价申请报价</w:t>
      </w:r>
      <w:r>
        <w:rPr>
          <w:rFonts w:hint="eastAsia" w:cs="Times New Roman"/>
          <w:color w:val="auto"/>
        </w:rPr>
        <w:t>低于采购项目（采购包）最高限价 45 %的，即</w:t>
      </w:r>
      <w:r>
        <w:rPr>
          <w:rFonts w:hint="eastAsia" w:cs="Times New Roman"/>
          <w:color w:val="auto"/>
          <w:lang w:eastAsia="zh-CN"/>
        </w:rPr>
        <w:t>询价申请报价</w:t>
      </w:r>
      <w:r>
        <w:rPr>
          <w:rFonts w:hint="eastAsia" w:cs="Times New Roman"/>
          <w:color w:val="auto"/>
        </w:rPr>
        <w:t>&lt;采购项目（采购包）最高限价× 45 %；</w:t>
      </w:r>
    </w:p>
    <w:p w14:paraId="662EC991">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3.4</w:t>
      </w:r>
      <w:r>
        <w:rPr>
          <w:rFonts w:hint="eastAsia" w:cs="Times New Roman"/>
          <w:color w:val="auto"/>
          <w:lang w:eastAsia="zh-CN"/>
        </w:rPr>
        <w:t>评审</w:t>
      </w:r>
      <w:r>
        <w:rPr>
          <w:rFonts w:hint="eastAsia" w:cs="Times New Roman"/>
          <w:color w:val="auto"/>
        </w:rPr>
        <w:t>委员会基于专业判断，认为供应商报价过低，有可能影响产品质量或者不能诚信履约的其他情形。</w:t>
      </w:r>
    </w:p>
    <w:p w14:paraId="2BF7BF21">
      <w:pPr>
        <w:spacing w:line="360" w:lineRule="auto"/>
        <w:ind w:firstLine="480" w:firstLineChars="200"/>
        <w:jc w:val="both"/>
        <w:rPr>
          <w:rFonts w:hint="default" w:cs="Times New Roman"/>
        </w:rPr>
      </w:pPr>
      <w:r>
        <w:rPr>
          <w:rFonts w:hint="eastAsia" w:cs="Times New Roman"/>
          <w:color w:val="auto"/>
          <w:lang w:eastAsia="zh-CN"/>
        </w:rPr>
        <w:t>评审</w:t>
      </w:r>
      <w:r>
        <w:rPr>
          <w:rFonts w:hint="eastAsia" w:cs="Times New Roman"/>
          <w:color w:val="auto"/>
        </w:rPr>
        <w:t>委员会启动异常低价投标审查后，属于前述第1项至第4项情</w:t>
      </w:r>
      <w:r>
        <w:rPr>
          <w:rFonts w:hint="eastAsia" w:cs="Times New Roman"/>
        </w:rPr>
        <w:t>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7C62072">
      <w:pPr>
        <w:spacing w:line="360" w:lineRule="auto"/>
        <w:ind w:firstLine="480" w:firstLineChars="200"/>
        <w:jc w:val="both"/>
        <w:rPr>
          <w:rFonts w:cs="Times New Roman"/>
        </w:rPr>
      </w:pPr>
      <w:r>
        <w:rPr>
          <w:rFonts w:hint="eastAsia" w:cs="Times New Roman"/>
          <w:lang w:eastAsia="zh-CN"/>
        </w:rPr>
        <w:t>评审</w:t>
      </w:r>
      <w:r>
        <w:rPr>
          <w:rFonts w:hint="eastAsia" w:cs="Times New Roman"/>
        </w:rPr>
        <w:t>委员会依据专业经验，参考同类项目中标（成交）价格、类似产品市场价格水平、行业人工费用标准、国家有关部门指导行业协会发布的行业平均成本等情况，对报价合理性进行判断。</w:t>
      </w:r>
      <w:r>
        <w:rPr>
          <w:rFonts w:hint="eastAsia" w:cs="Times New Roman"/>
          <w:lang w:eastAsia="zh-CN"/>
        </w:rPr>
        <w:t>询价申请人报价</w:t>
      </w:r>
      <w:r>
        <w:rPr>
          <w:rFonts w:hint="eastAsia" w:cs="Times New Roman"/>
        </w:rPr>
        <w:t>不能提供书面说明、证明材料，或者提供的书面说明、证明材料不能证明其报价合理性的，</w:t>
      </w:r>
      <w:r>
        <w:rPr>
          <w:rFonts w:hint="eastAsia" w:cs="Times New Roman"/>
          <w:lang w:eastAsia="zh-CN"/>
        </w:rPr>
        <w:t>评审</w:t>
      </w:r>
      <w:r>
        <w:rPr>
          <w:rFonts w:hint="eastAsia" w:cs="Times New Roman"/>
        </w:rPr>
        <w:t>委员会应当将其作为无效投标处理。</w:t>
      </w:r>
    </w:p>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4AECD907">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bookmarkStart w:id="17" w:name="_Toc23063"/>
      <w:r>
        <w:rPr>
          <w:rFonts w:cs="Times New Roman"/>
          <w:b/>
          <w:sz w:val="28"/>
        </w:rPr>
        <w:t>附件1：递交</w:t>
      </w:r>
      <w:r>
        <w:rPr>
          <w:rFonts w:hint="eastAsia" w:cs="Times New Roman"/>
          <w:b/>
          <w:sz w:val="28"/>
        </w:rPr>
        <w:t>询价</w:t>
      </w:r>
      <w:r>
        <w:rPr>
          <w:rFonts w:cs="Times New Roman"/>
          <w:b/>
          <w:sz w:val="28"/>
        </w:rPr>
        <w:t>申请文件签收表</w:t>
      </w:r>
      <w:bookmarkEnd w:id="17"/>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241" w:firstLineChars="1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w:t>
            </w:r>
            <w:r>
              <w:rPr>
                <w:rFonts w:hint="eastAsia" w:ascii="宋体" w:hAnsi="宋体" w:cs="Times New Roman"/>
                <w:b/>
                <w:sz w:val="24"/>
                <w:szCs w:val="24"/>
                <w:lang w:val="en-US" w:eastAsia="zh-CN" w:bidi="ar-SA"/>
              </w:rPr>
              <w:t>医院羽毛球活动场地服务采购项目（第四次）</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w:t>
            </w:r>
            <w:r>
              <w:rPr>
                <w:rFonts w:hint="eastAsia" w:cs="Times New Roman"/>
                <w:b/>
                <w:sz w:val="24"/>
                <w:szCs w:val="24"/>
                <w:lang w:val="en-US" w:eastAsia="zh-CN" w:bidi="ar-SA"/>
              </w:rPr>
              <w:t>HQ034</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7</w:t>
            </w:r>
            <w:r>
              <w:rPr>
                <w:rFonts w:hint="eastAsia" w:ascii="宋体" w:hAnsi="宋体" w:eastAsia="宋体" w:cs="Times New Roman"/>
                <w:b/>
                <w:sz w:val="24"/>
                <w:szCs w:val="24"/>
                <w:lang w:val="en-US" w:eastAsia="zh-CN" w:bidi="ar-SA"/>
              </w:rPr>
              <w:t>月</w:t>
            </w:r>
            <w:r>
              <w:rPr>
                <w:rFonts w:hint="eastAsia" w:cs="Times New Roman"/>
                <w:b/>
                <w:sz w:val="24"/>
                <w:szCs w:val="24"/>
                <w:lang w:val="en-US" w:eastAsia="zh-CN" w:bidi="ar-SA"/>
              </w:rPr>
              <w:t>10</w:t>
            </w:r>
            <w:bookmarkStart w:id="18" w:name="_GoBack"/>
            <w:bookmarkEnd w:id="18"/>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43E19DFC"/>
    <w:multiLevelType w:val="singleLevel"/>
    <w:tmpl w:val="43E19DFC"/>
    <w:lvl w:ilvl="0" w:tentative="0">
      <w:start w:val="7"/>
      <w:numFmt w:val="decimal"/>
      <w:lvlText w:val="%1."/>
      <w:lvlJc w:val="left"/>
      <w:pPr>
        <w:tabs>
          <w:tab w:val="left" w:pos="312"/>
        </w:tabs>
      </w:p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zMxNTgzNTVhNzFiMWIyZDVmNTIyNmUwMGE4NDI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5D2976"/>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0D3D8F"/>
    <w:rsid w:val="01E45BE1"/>
    <w:rsid w:val="02972538"/>
    <w:rsid w:val="029916F1"/>
    <w:rsid w:val="05BB0CD5"/>
    <w:rsid w:val="07C55B34"/>
    <w:rsid w:val="08F6325E"/>
    <w:rsid w:val="092100C7"/>
    <w:rsid w:val="09286352"/>
    <w:rsid w:val="092B6CF5"/>
    <w:rsid w:val="09544ACC"/>
    <w:rsid w:val="09CD45A7"/>
    <w:rsid w:val="09D57554"/>
    <w:rsid w:val="0A1204FB"/>
    <w:rsid w:val="0A4D6A9F"/>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194AB2"/>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7673A15"/>
    <w:rsid w:val="381F1BC2"/>
    <w:rsid w:val="396206F2"/>
    <w:rsid w:val="3B1672AC"/>
    <w:rsid w:val="3BF05302"/>
    <w:rsid w:val="3C5C22AF"/>
    <w:rsid w:val="3C6D0DCD"/>
    <w:rsid w:val="3E5E302B"/>
    <w:rsid w:val="3EAE066A"/>
    <w:rsid w:val="3F1846A7"/>
    <w:rsid w:val="3F212F59"/>
    <w:rsid w:val="3FE82F54"/>
    <w:rsid w:val="40187F1B"/>
    <w:rsid w:val="406F4996"/>
    <w:rsid w:val="411E5F00"/>
    <w:rsid w:val="4253785E"/>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49147F"/>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4E476E8"/>
    <w:rsid w:val="558663CD"/>
    <w:rsid w:val="55910FA3"/>
    <w:rsid w:val="56293401"/>
    <w:rsid w:val="56C94E7C"/>
    <w:rsid w:val="5703134B"/>
    <w:rsid w:val="571763CB"/>
    <w:rsid w:val="579F4D6C"/>
    <w:rsid w:val="57EF41BD"/>
    <w:rsid w:val="57FA47C4"/>
    <w:rsid w:val="5822722F"/>
    <w:rsid w:val="58254C0F"/>
    <w:rsid w:val="59167285"/>
    <w:rsid w:val="5A381596"/>
    <w:rsid w:val="5A7256F1"/>
    <w:rsid w:val="5B992B05"/>
    <w:rsid w:val="5BB74C49"/>
    <w:rsid w:val="5C7660D4"/>
    <w:rsid w:val="5CAA3025"/>
    <w:rsid w:val="5CCE41E0"/>
    <w:rsid w:val="5D4B331E"/>
    <w:rsid w:val="5D6D4DF9"/>
    <w:rsid w:val="5DFFFE94"/>
    <w:rsid w:val="5F387187"/>
    <w:rsid w:val="5F7B07D0"/>
    <w:rsid w:val="5FFA5537"/>
    <w:rsid w:val="602D5F78"/>
    <w:rsid w:val="60750C34"/>
    <w:rsid w:val="60DE6414"/>
    <w:rsid w:val="60F75193"/>
    <w:rsid w:val="61786DEF"/>
    <w:rsid w:val="61926A0E"/>
    <w:rsid w:val="61AE286A"/>
    <w:rsid w:val="61CC3031"/>
    <w:rsid w:val="62A10B97"/>
    <w:rsid w:val="62E767CA"/>
    <w:rsid w:val="62E94B2A"/>
    <w:rsid w:val="64BE0A91"/>
    <w:rsid w:val="65A01110"/>
    <w:rsid w:val="66634E86"/>
    <w:rsid w:val="66877D70"/>
    <w:rsid w:val="66CD44A6"/>
    <w:rsid w:val="67127733"/>
    <w:rsid w:val="671B0B86"/>
    <w:rsid w:val="673B0F66"/>
    <w:rsid w:val="69011D04"/>
    <w:rsid w:val="691F1802"/>
    <w:rsid w:val="694D6F25"/>
    <w:rsid w:val="69AB7199"/>
    <w:rsid w:val="69EE7BE6"/>
    <w:rsid w:val="69FC7056"/>
    <w:rsid w:val="6A350FE4"/>
    <w:rsid w:val="6A86452F"/>
    <w:rsid w:val="6BDA6073"/>
    <w:rsid w:val="6C412A6B"/>
    <w:rsid w:val="6D2F2483"/>
    <w:rsid w:val="6E017F29"/>
    <w:rsid w:val="6EFF438F"/>
    <w:rsid w:val="6F32495E"/>
    <w:rsid w:val="6FF50A7E"/>
    <w:rsid w:val="70FC3793"/>
    <w:rsid w:val="713822F2"/>
    <w:rsid w:val="72D03851"/>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DD06BD2"/>
    <w:rsid w:val="7E057FEC"/>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10028</Words>
  <Characters>10354</Characters>
  <Lines>88</Lines>
  <Paragraphs>24</Paragraphs>
  <TotalTime>96</TotalTime>
  <ScaleCrop>false</ScaleCrop>
  <LinksUpToDate>false</LinksUpToDate>
  <CharactersWithSpaces>10783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人民医院采购办</cp:lastModifiedBy>
  <cp:lastPrinted>2026-04-15T05:54:00Z</cp:lastPrinted>
  <dcterms:modified xsi:type="dcterms:W3CDTF">2026-07-03T00:57:27Z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